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5.png" ContentType="image/png"/>
  <Override PartName="/word/media/rId126.png" ContentType="image/png"/>
  <Override PartName="/word/media/rId113.jpg" ContentType="image/jpeg"/>
  <Override PartName="/word/media/rId85.png" ContentType="image/png"/>
  <Override PartName="/word/media/rId79.png" ContentType="image/png"/>
  <Override PartName="/word/media/rId64.png" ContentType="image/png"/>
  <Override PartName="/word/media/rId135.png" ContentType="image/png"/>
  <Override PartName="/word/media/rId60.png" ContentType="image/png"/>
  <Override PartName="/word/media/rId107.png" ContentType="image/png"/>
  <Override PartName="/word/media/rId50.png" ContentType="image/png"/>
  <Override PartName="/word/media/rId72.png" ContentType="image/png"/>
  <Override PartName="/word/media/rId101.png" ContentType="image/png"/>
  <Override PartName="/word/media/rId94.png" ContentType="image/png"/>
  <Override PartName="/word/media/rId119.png" ContentType="image/png"/>
  <Override PartName="/word/media/rId140.png" ContentType="image/png"/>
  <Override PartName="/word/media/rId89.png" ContentType="image/png"/>
  <Override PartName="/word/media/rId154.jpg" ContentType="image/jpeg"/>
  <Override PartName="/word/media/rId158.jpg" ContentType="image/jpeg"/>
  <Override PartName="/word/media/rId163.jpg" ContentType="image/jpeg"/>
  <Override PartName="/word/media/rId173.jpg" ContentType="image/jpeg"/>
  <Override PartName="/word/media/rId178.jpg" ContentType="image/jpeg"/>
  <Override PartName="/word/media/rId183.jpg" ContentType="image/jpeg"/>
  <Override PartName="/word/media/rId191.jpg" ContentType="image/jpeg"/>
  <Override PartName="/word/media/rId195.jpg" ContentType="image/jpeg"/>
  <Override PartName="/word/media/rId200.jpg" ContentType="image/jpeg"/>
  <Override PartName="/word/media/rId150.png" ContentType="image/png"/>
  <Override PartName="/word/media/rId187.png" ContentType="image/png"/>
  <Override PartName="/word/media/rId207.png" ContentType="image/png"/>
  <Override PartName="/word/media/rId219.png" ContentType="image/png"/>
  <Override PartName="/word/media/rId279.png" ContentType="image/png"/>
  <Override PartName="/word/media/rId284.png" ContentType="image/png"/>
  <Override PartName="/word/media/rId289.png" ContentType="image/png"/>
  <Override PartName="/word/media/rId295.png" ContentType="image/png"/>
  <Override PartName="/word/media/rId299.png" ContentType="image/png"/>
  <Override PartName="/word/media/rId229.png" ContentType="image/png"/>
  <Override PartName="/word/media/rId236.png" ContentType="image/png"/>
  <Override PartName="/word/media/rId252.png" ContentType="image/png"/>
  <Override PartName="/word/media/rId257.png" ContentType="image/png"/>
  <Override PartName="/word/media/rId261.png" ContentType="image/png"/>
  <Override PartName="/word/media/rId265.png" ContentType="image/png"/>
  <Override PartName="/word/media/rId269.png" ContentType="image/png"/>
  <Override PartName="/word/media/rId274.png" ContentType="image/png"/>
  <Override PartName="/word/media/rId224.png" ContentType="image/png"/>
  <Override PartName="/word/media/rId240.png" ContentType="image/png"/>
  <Override PartName="/word/media/rId349.png" ContentType="image/png"/>
  <Override PartName="/word/media/rId339.png" ContentType="image/png"/>
  <Override PartName="/word/media/rId317.png" ContentType="image/png"/>
  <Override PartName="/word/media/rId327.png" ContentType="image/png"/>
  <Override PartName="/word/media/rId353.png" ContentType="image/png"/>
  <Override PartName="/word/media/rId335.png" ContentType="image/png"/>
  <Override PartName="/word/media/rId312.png" ContentType="image/png"/>
  <Override PartName="/word/media/rId368.png" ContentType="image/png"/>
  <Override PartName="/word/media/rId344.png" ContentType="image/png"/>
  <Override PartName="/word/media/rId382.png" ContentType="image/png"/>
  <Override PartName="/word/media/rId377.png" ContentType="image/png"/>
  <Override PartName="/word/media/rId443.png" ContentType="image/png"/>
  <Override PartName="/word/media/rId430.png" ContentType="image/png"/>
  <Override PartName="/word/media/rId391.png" ContentType="image/png"/>
  <Override PartName="/word/media/rId398.png" ContentType="image/png"/>
  <Override PartName="/word/media/rId424.png" ContentType="image/png"/>
  <Override PartName="/word/media/rId435.png" ContentType="image/png"/>
  <Override PartName="/word/media/rId439.png" ContentType="image/png"/>
  <Override PartName="/word/media/rId455.png" ContentType="image/png"/>
  <Override PartName="/word/media/rId402.png" ContentType="image/png"/>
  <Override PartName="/word/media/rId420.png" ContentType="image/png"/>
  <Override PartName="/word/media/rId415.png" ContentType="image/png"/>
  <Override PartName="/word/media/rId467.jpg" ContentType="image/jpeg"/>
  <Override PartName="/word/media/rId480.jpg" ContentType="image/jpeg"/>
  <Override PartName="/word/media/rId484.jpg" ContentType="image/jpeg"/>
  <Override PartName="/word/media/rId476.jpg" ContentType="image/jpeg"/>
  <Override PartName="/word/media/rId471.jpg" ContentType="image/jpeg"/>
  <Override PartName="/word/media/rId23.png" ContentType="image/png"/>
  <Override PartName="/word/media/rId30.png" ContentType="image/png"/>
  <Override PartName="/word/media/rId40.png" ContentType="image/png"/>
  <Override PartName="/word/media/rId37.png" ContentType="image/png"/>
  <Override PartName="/word/media/rId44.png" ContentType="image/png"/>
  <Override PartName="/word/media/rId3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9"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rPr>
          <w:b/>
          <w:bCs/>
        </w:rPr>
        <w:t xml:space="preserve">Oiry, S</w:t>
      </w:r>
      <w:r>
        <w:t xml:space="preserve">., Davies, B. F. R., Rosa, P., Debly, A., Zoffoli, M. L., Barillé, A.-L., Harin, N., Román, M., Gernez, P., &amp; Barillé, L. (Submitted). Heatwave impacts on intertidal seagrass reflectance: From laboratory experiment to satellite mapping of Seagrass Heat Shock Index.</w:t>
      </w:r>
    </w:p>
    <w:p>
      <w:pPr>
        <w:numPr>
          <w:ilvl w:val="0"/>
          <w:numId w:val="1001"/>
        </w:numPr>
      </w:pPr>
      <w:r>
        <w:rPr>
          <w:b/>
          <w:bCs/>
        </w:rPr>
        <w:t xml:space="preserve">Oiry, S.</w:t>
      </w:r>
      <w:r>
        <w:t xml:space="preserve">, Davies, B. F. R., Stiger-Pouvreau, V., Gernez, P., &amp; Barillé, L. (Submitted). Mapping the distribution of the alien invasive</w:t>
      </w:r>
      <w:r>
        <w:t xml:space="preserve"> </w:t>
      </w:r>
      <w:r>
        <w:rPr>
          <w:i/>
          <w:iCs/>
        </w:rPr>
        <w:t xml:space="preserve">Gracilaria vermiculophylla</w:t>
      </w:r>
      <w:r>
        <w:t xml:space="preserve"> </w:t>
      </w:r>
      <w:r>
        <w:t xml:space="preserve">at the site of its First European Observation.</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Topographic analysis of intertidal polychaete reefs (Sabellaria alveolata) using very high resolution UAV remote sensing (23 - 27 may 2022); Living Planet Symposium, Bonn, Germany ; Poster</w:t>
      </w:r>
    </w:p>
    <w:bookmarkEnd w:id="22"/>
    <w:bookmarkStart w:id="48" w:name="project-related-to-the-thesis."/>
    <w:p>
      <w:pPr>
        <w:pStyle w:val="Heading2"/>
      </w:pPr>
      <w:r>
        <w:t xml:space="preserve">Project related to the thesis.</w:t>
      </w:r>
    </w:p>
    <w:bookmarkStart w:id="36"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2377440" cy="2377440"/>
            <wp:effectExtent b="0" l="0" r="0" t="0"/>
            <wp:docPr descr="" title="" id="31" name="Picture"/>
            <a:graphic>
              <a:graphicData uri="http://schemas.openxmlformats.org/drawingml/2006/picture">
                <pic:pic>
                  <pic:nvPicPr>
                    <pic:cNvPr descr="images/ESA_Logo.png" id="32" name="Picture"/>
                    <pic:cNvPicPr>
                      <a:picLocks noChangeArrowheads="1" noChangeAspect="1"/>
                    </pic:cNvPicPr>
                  </pic:nvPicPr>
                  <pic:blipFill>
                    <a:blip r:embed="rId30"/>
                    <a:stretch>
                      <a:fillRect/>
                    </a:stretch>
                  </pic:blipFill>
                  <pic:spPr bwMode="auto">
                    <a:xfrm>
                      <a:off x="0" y="0"/>
                      <a:ext cx="2377440" cy="2377440"/>
                    </a:xfrm>
                    <a:prstGeom prst="rect">
                      <a:avLst/>
                    </a:prstGeom>
                    <a:noFill/>
                    <a:ln w="9525">
                      <a:noFill/>
                      <a:headEnd/>
                      <a:tailEnd/>
                    </a:ln>
                  </pic:spPr>
                </pic:pic>
              </a:graphicData>
            </a:graphic>
          </wp:inline>
        </w:drawing>
      </w:r>
    </w:p>
    <w:p>
      <w:pPr>
        <w:pStyle w:val="BodyText"/>
      </w:pPr>
      <w:r>
        <w:drawing>
          <wp:inline>
            <wp:extent cx="5943600" cy="1040130"/>
            <wp:effectExtent b="0" l="0" r="0" t="0"/>
            <wp:docPr descr="" title="" id="34" name="Picture"/>
            <a:graphic>
              <a:graphicData uri="http://schemas.openxmlformats.org/drawingml/2006/picture">
                <pic:pic>
                  <pic:nvPicPr>
                    <pic:cNvPr descr="images/logos_BICOME.png" id="35" name="Picture"/>
                    <pic:cNvPicPr>
                      <a:picLocks noChangeArrowheads="1" noChangeAspect="1"/>
                    </pic:cNvPicPr>
                  </pic:nvPicPr>
                  <pic:blipFill>
                    <a:blip r:embed="rId33"/>
                    <a:stretch>
                      <a:fillRect/>
                    </a:stretch>
                  </pic:blipFill>
                  <pic:spPr bwMode="auto">
                    <a:xfrm>
                      <a:off x="0" y="0"/>
                      <a:ext cx="5943600" cy="1040130"/>
                    </a:xfrm>
                    <a:prstGeom prst="rect">
                      <a:avLst/>
                    </a:prstGeom>
                    <a:noFill/>
                    <a:ln w="9525">
                      <a:noFill/>
                      <a:headEnd/>
                      <a:tailEnd/>
                    </a:ln>
                  </pic:spPr>
                </pic:pic>
              </a:graphicData>
            </a:graphic>
          </wp:inline>
        </w:drawing>
      </w:r>
    </w:p>
    <w:p>
      <w:r>
        <w:br w:type="page"/>
      </w:r>
    </w:p>
    <w:bookmarkEnd w:id="36"/>
    <w:bookmarkStart w:id="43" w:name="rewrite"/>
    <w:p>
      <w:pPr>
        <w:pStyle w:val="Heading3"/>
      </w:pPr>
      <w:r>
        <w:t xml:space="preserve">Rewrite</w:t>
      </w:r>
    </w:p>
    <w:p>
      <w:pPr>
        <w:pStyle w:val="FirstParagraph"/>
      </w:pPr>
      <w:r>
        <w:drawing>
          <wp:inline>
            <wp:extent cx="5943600" cy="1256605"/>
            <wp:effectExtent b="0" l="0" r="0" t="0"/>
            <wp:docPr descr="" title="" id="38" name="Picture"/>
            <a:graphic>
              <a:graphicData uri="http://schemas.openxmlformats.org/drawingml/2006/picture">
                <pic:pic>
                  <pic:nvPicPr>
                    <pic:cNvPr descr="images/Rewrite_banner.png" id="39" name="Picture"/>
                    <pic:cNvPicPr>
                      <a:picLocks noChangeArrowheads="1" noChangeAspect="1"/>
                    </pic:cNvPicPr>
                  </pic:nvPicPr>
                  <pic:blipFill>
                    <a:blip r:embed="rId37"/>
                    <a:stretch>
                      <a:fillRect/>
                    </a:stretch>
                  </pic:blipFill>
                  <pic:spPr bwMode="auto">
                    <a:xfrm>
                      <a:off x="0" y="0"/>
                      <a:ext cx="5943600" cy="1256605"/>
                    </a:xfrm>
                    <a:prstGeom prst="rect">
                      <a:avLst/>
                    </a:prstGeom>
                    <a:noFill/>
                    <a:ln w="9525">
                      <a:noFill/>
                      <a:headEnd/>
                      <a:tailEnd/>
                    </a:ln>
                  </pic:spPr>
                </pic:pic>
              </a:graphicData>
            </a:graphic>
          </wp:inline>
        </w:drawing>
      </w:r>
    </w:p>
    <w:p>
      <w:pPr>
        <w:pStyle w:val="BodyText"/>
      </w:pP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p>
      <w:pPr>
        <w:pStyle w:val="BodyText"/>
      </w:pPr>
      <w:r>
        <w:drawing>
          <wp:inline>
            <wp:extent cx="1831853" cy="732741"/>
            <wp:effectExtent b="0" l="0" r="0" t="0"/>
            <wp:docPr descr="" title="" id="41" name="Picture"/>
            <a:graphic>
              <a:graphicData uri="http://schemas.openxmlformats.org/drawingml/2006/picture">
                <pic:pic>
                  <pic:nvPicPr>
                    <pic:cNvPr descr="images/EU_Logo.png" id="42" name="Picture"/>
                    <pic:cNvPicPr>
                      <a:picLocks noChangeArrowheads="1" noChangeAspect="1"/>
                    </pic:cNvPicPr>
                  </pic:nvPicPr>
                  <pic:blipFill>
                    <a:blip r:embed="rId40"/>
                    <a:stretch>
                      <a:fillRect/>
                    </a:stretch>
                  </pic:blipFill>
                  <pic:spPr bwMode="auto">
                    <a:xfrm>
                      <a:off x="0" y="0"/>
                      <a:ext cx="1831853" cy="732741"/>
                    </a:xfrm>
                    <a:prstGeom prst="rect">
                      <a:avLst/>
                    </a:prstGeom>
                    <a:noFill/>
                    <a:ln w="9525">
                      <a:noFill/>
                      <a:headEnd/>
                      <a:tailEnd/>
                    </a:ln>
                  </pic:spPr>
                </pic:pic>
              </a:graphicData>
            </a:graphic>
          </wp:inline>
        </w:drawing>
      </w:r>
    </w:p>
    <w:bookmarkEnd w:id="43"/>
    <w:bookmarkStart w:id="47"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p>
      <w:pPr>
        <w:pStyle w:val="BodyText"/>
      </w:pPr>
      <w:r>
        <w:drawing>
          <wp:inline>
            <wp:extent cx="2377440" cy="2377440"/>
            <wp:effectExtent b="0" l="0" r="0" t="0"/>
            <wp:docPr descr="" title="" id="45" name="Picture"/>
            <a:graphic>
              <a:graphicData uri="http://schemas.openxmlformats.org/drawingml/2006/picture">
                <pic:pic>
                  <pic:nvPicPr>
                    <pic:cNvPr descr="images/cnes_logo.png" id="46" name="Picture"/>
                    <pic:cNvPicPr>
                      <a:picLocks noChangeArrowheads="1" noChangeAspect="1"/>
                    </pic:cNvPicPr>
                  </pic:nvPicPr>
                  <pic:blipFill>
                    <a:blip r:embed="rId44"/>
                    <a:stretch>
                      <a:fillRect/>
                    </a:stretch>
                  </pic:blipFill>
                  <pic:spPr bwMode="auto">
                    <a:xfrm>
                      <a:off x="0" y="0"/>
                      <a:ext cx="2377440" cy="2377440"/>
                    </a:xfrm>
                    <a:prstGeom prst="rect">
                      <a:avLst/>
                    </a:prstGeom>
                    <a:noFill/>
                    <a:ln w="9525">
                      <a:noFill/>
                      <a:headEnd/>
                      <a:tailEnd/>
                    </a:ln>
                  </pic:spPr>
                </pic:pic>
              </a:graphicData>
            </a:graphic>
          </wp:inline>
        </w:drawing>
      </w:r>
    </w:p>
    <w:bookmarkEnd w:id="47"/>
    <w:bookmarkEnd w:id="48"/>
    <w:bookmarkEnd w:id="49"/>
    <w:bookmarkStart w:id="147" w:name="introduction"/>
    <w:p>
      <w:pPr>
        <w:pStyle w:val="Heading1"/>
      </w:pPr>
      <w:r>
        <w:t xml:space="preserve">1. Introduction</w:t>
      </w:r>
    </w:p>
    <w:bookmarkStart w:id="7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54"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w:t>
      </w:r>
      <w:r>
        <w:t xml:space="preserve"> </w:t>
      </w:r>
      <w:r>
        <w:t xml:space="preserve">(Hobohm et al., 2021)</w:t>
      </w:r>
      <w:r>
        <w:t xml:space="preserve">. The functionality of many coastal ecosystems is intrinsically linked to land-sea interactions, as observed in deltas and estuaries</w:t>
      </w:r>
      <w:r>
        <w:t xml:space="preserve"> </w:t>
      </w:r>
      <w:r>
        <w:t xml:space="preserve">(Elliott and Whitfield, 2011)</w:t>
      </w:r>
      <w:r>
        <w:t xml:space="preserve">.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w:t>
      </w:r>
      <w:r>
        <w:t xml:space="preserve"> </w:t>
      </w:r>
      <w:r>
        <w:t xml:space="preserve">(Murray et al., 2019)</w:t>
      </w:r>
      <w:r>
        <w:t xml:space="preserve">. However, these areas are also exposed to a variety of land-based and marine hazards, including storms, tropical cyclones, storm surges, tsunamis, riverine flooding, shoreline erosion, sea-level rise and biohazards such as algal blooms and pollutants</w:t>
      </w:r>
      <w:r>
        <w:t xml:space="preserve"> </w:t>
      </w:r>
      <w:r>
        <w:t xml:space="preserve">(Mukhopadhyay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53" w:name="fig-CoastalHabitat"/>
          <w:p>
            <w:pPr>
              <w:pStyle w:val="Compact"/>
              <w:jc w:val="center"/>
            </w:pPr>
            <w:r>
              <w:drawing>
                <wp:inline>
                  <wp:extent cx="5884164" cy="4413123"/>
                  <wp:effectExtent b="0" l="0" r="0" t="0"/>
                  <wp:docPr descr="" title="" id="51" name="Picture"/>
                  <a:graphic>
                    <a:graphicData uri="http://schemas.openxmlformats.org/drawingml/2006/picture">
                      <pic:pic>
                        <pic:nvPicPr>
                          <pic:cNvPr descr="Chapter1/Figs/Picture_habitat/CoastalHabitats_Lowres.png" id="52" name="Picture"/>
                          <pic:cNvPicPr>
                            <a:picLocks noChangeArrowheads="1" noChangeAspect="1"/>
                          </pic:cNvPicPr>
                        </pic:nvPicPr>
                        <pic:blipFill>
                          <a:blip r:embed="rId50"/>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53"/>
        </w:tc>
      </w:tr>
    </w:tbl>
    <w:p>
      <w:pPr>
        <w:pStyle w:val="BodyText"/>
      </w:pPr>
      <w:r>
        <w:t xml:space="preserve">Coastal ecosystems provide a range of ecosystem services that are fundamental to environmental sustainability and human well-being</w:t>
      </w:r>
      <w:r>
        <w:t xml:space="preserve"> </w:t>
      </w:r>
      <w:r>
        <w:t xml:space="preserve">(Barbier et al., 2011)</w:t>
      </w:r>
      <w:r>
        <w:t xml:space="preserve">. These ecosystems function as natural barriers against storm surges and coastal flooding</w:t>
      </w:r>
      <w:r>
        <w:t xml:space="preserve"> </w:t>
      </w:r>
      <w:r>
        <w:t xml:space="preserve">(Barbier, 2015)</w:t>
      </w:r>
      <w:r>
        <w:t xml:space="preserve">, thereby mitigating the impacts of such hazards on inland regions and safeguarding human lives and infrastructure</w:t>
      </w:r>
      <w:r>
        <w:t xml:space="preserve"> </w:t>
      </w:r>
      <w:r>
        <w:t xml:space="preserve">(Cooley et al., 2023)</w:t>
      </w:r>
      <w:r>
        <w:t xml:space="preserve">. They support significant biodiversity, serving as critical habitats and breeding grounds for numerous species, including commercially valuable fish, shellfish, and other marine organisms that sustain global fisheries</w:t>
      </w:r>
      <w:r>
        <w:t xml:space="preserve"> </w:t>
      </w:r>
      <w:r>
        <w:t xml:space="preserve">(Rodrigues-Filho et al., 2023)</w:t>
      </w:r>
      <w:r>
        <w:t xml:space="preserve">. Coastal vegetation, including mangroves</w:t>
      </w:r>
      <w:r>
        <w:t xml:space="preserve"> </w:t>
      </w:r>
      <w:r>
        <w:t xml:space="preserve">(Alongi, 2012)</w:t>
      </w:r>
      <w:r>
        <w:t xml:space="preserve">, salt marshes</w:t>
      </w:r>
      <w:r>
        <w:t xml:space="preserve"> </w:t>
      </w:r>
      <w:r>
        <w:t xml:space="preserve">(Connor et al., 2001)</w:t>
      </w:r>
      <w:r>
        <w:t xml:space="preserve">, and seagrasses</w:t>
      </w:r>
      <w:r>
        <w:t xml:space="preserve"> </w:t>
      </w:r>
      <w:r>
        <w:t xml:space="preserve">(Fourqurean et al., 2012)</w:t>
      </w:r>
      <w:r>
        <w:t xml:space="preserve">,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w:t>
      </w:r>
      <w:r>
        <w:t xml:space="preserve"> </w:t>
      </w:r>
      <w:r>
        <w:t xml:space="preserve">(Los Santos et al., 2020)</w:t>
      </w:r>
      <w:r>
        <w:t xml:space="preserve">. These ecosystems are integral to nutrient cycling, ensuring the continued productivity of adjacent marine environments</w:t>
      </w:r>
      <w:r>
        <w:t xml:space="preserve"> </w:t>
      </w:r>
      <w:r>
        <w:t xml:space="preserve">(Nixon, 1981)</w:t>
      </w:r>
      <w:r>
        <w:t xml:space="preserve">. Additionally, they provide substantial cultural, educational, and recreational opportunities, drawing global attention and fostering an intrinsic human connection to nature</w:t>
      </w:r>
      <w:r>
        <w:t xml:space="preserve"> </w:t>
      </w:r>
      <w:r>
        <w:t xml:space="preserve">(Cao et al., 2022; Lakshmi, 2021)</w:t>
      </w:r>
      <w:r>
        <w:t xml:space="preserve">. This societal value contributes directly to local and regional economies through industries such as tourism, artisanal fishing, and related enterprises</w:t>
      </w:r>
      <w:r>
        <w:t xml:space="preserve"> </w:t>
      </w:r>
      <w:r>
        <w:t xml:space="preserve">(Martı́nez et al., 2007; Otrachshenko and Bosello, 2017)</w:t>
      </w:r>
      <w:r>
        <w:t xml:space="preserve">. Furthermore, coastal ecosystems supply essential natural resources, including seafood and plant-based materials, while supporting sustainable aquaculture practices that promote global food security and bolster local livelihoods</w:t>
      </w:r>
      <w:r>
        <w:t xml:space="preserve"> </w:t>
      </w:r>
      <w:r>
        <w:t xml:space="preserve">(Farmery et al., 2022)</w:t>
      </w:r>
      <w:r>
        <w:t xml:space="preserve">. Collectively, these functions highlight the indispensable ecological and economic importance of coastal ecosystems.</w:t>
      </w:r>
    </w:p>
    <w:bookmarkEnd w:id="54"/>
    <w:bookmarkStart w:id="5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Hyperlink"/>
          </w:rPr>
          <w:t xml:space="preserve">Figure 1.2</w:t>
        </w:r>
      </w:hyperlink>
      <w:r>
        <w:t xml:space="preserve"> </w:t>
      </w:r>
      <w:r>
        <w:t xml:space="preserve">;</w:t>
      </w:r>
      <w:r>
        <w:t xml:space="preserve"> </w:t>
      </w:r>
      <w:r>
        <w:t xml:space="preserve">Cosby et al. (2024)</w:t>
      </w:r>
      <w:r>
        <w:t xml:space="preserve">).</w:t>
      </w:r>
    </w:p>
    <w:tbl>
      <w:tblPr>
        <w:tblStyle w:val="Table"/>
        <w:tblW w:type="pct" w:w="5000"/>
        <w:tblLayout w:type="fixed"/>
        <w:tblLook w:firstRow="0" w:lastRow="0" w:firstColumn="0" w:lastColumn="0" w:noHBand="0" w:noVBand="0" w:val="0000"/>
      </w:tblPr>
      <w:tblGrid>
        <w:gridCol w:w="7920"/>
      </w:tblGrid>
      <w:tr>
        <w:tc>
          <w:tcPr/>
          <w:bookmarkStart w:id="58" w:name="fig-CoastalPop"/>
          <w:p>
            <w:pPr>
              <w:pStyle w:val="Compact"/>
              <w:jc w:val="center"/>
            </w:pPr>
            <w:r>
              <w:drawing>
                <wp:inline>
                  <wp:extent cx="5884164" cy="3033262"/>
                  <wp:effectExtent b="0" l="0" r="0" t="0"/>
                  <wp:docPr descr="" title="" id="56" name="Picture"/>
                  <a:graphic>
                    <a:graphicData uri="http://schemas.openxmlformats.org/drawingml/2006/picture">
                      <pic:pic>
                        <pic:nvPicPr>
                          <pic:cNvPr descr="Chapter1/Figs/CoastalPopulation.png" id="57" name="Picture"/>
                          <pic:cNvPicPr>
                            <a:picLocks noChangeArrowheads="1" noChangeAspect="1"/>
                          </pic:cNvPicPr>
                        </pic:nvPicPr>
                        <pic:blipFill>
                          <a:blip r:embed="rId55"/>
                          <a:stretch>
                            <a:fillRect/>
                          </a:stretch>
                        </pic:blipFill>
                        <pic:spPr bwMode="auto">
                          <a:xfrm>
                            <a:off x="0" y="0"/>
                            <a:ext cx="5884164" cy="3033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Global coastal population curve (CoPop curve) expressed as population estimates in 5 km bands. From</w:t>
            </w:r>
            <w:r>
              <w:t xml:space="preserve"> </w:t>
            </w:r>
            <w:r>
              <w:t xml:space="preserve">Cosby et al. (2024)</w:t>
            </w:r>
          </w:p>
          <w:bookmarkEnd w:id="58"/>
        </w:tc>
      </w:tr>
    </w:tbl>
    <w:p>
      <w:pPr>
        <w:pStyle w:val="BodyText"/>
      </w:pPr>
      <w:r>
        <w:t xml:space="preserve">This represents nearly 15% of the global population occupying only 4% of the Earth’s inhabitable landmass. Projections indicate that coastal populations will continue to rise, potentially reaching 2.9 billion by 2100 under various socioeconomic scenarios</w:t>
      </w:r>
      <w:r>
        <w:t xml:space="preserve"> </w:t>
      </w:r>
      <w:r>
        <w:t xml:space="preserve">(Reimann et al., 2023)</w:t>
      </w:r>
      <w:r>
        <w:t xml:space="preserve">.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w:t>
      </w:r>
      <w:r>
        <w:t xml:space="preserve"> </w:t>
      </w:r>
      <w:r>
        <w:t xml:space="preserve">(Eurostat, 2023)</w:t>
      </w:r>
      <w:r>
        <w:t xml:space="preserve">.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w:t>
      </w:r>
      <w:r>
        <w:t xml:space="preserve"> </w:t>
      </w:r>
      <w:r>
        <w:t xml:space="preserve">(Reuters, 2024)</w:t>
      </w:r>
      <w:r>
        <w:t xml:space="preserve">.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w:t>
      </w:r>
      <w:r>
        <w:t xml:space="preserve"> </w:t>
      </w:r>
      <w:r>
        <w:t xml:space="preserve">(Union, 2025)</w:t>
      </w:r>
      <w:r>
        <w:t xml:space="preserv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(Faber et al.,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w:t>
      </w:r>
      <w:r>
        <w:t xml:space="preserve"> </w:t>
      </w:r>
      <w:r>
        <w:t xml:space="preserve">(Reeves et al., 2014)</w:t>
      </w:r>
      <w:r>
        <w:t xml:space="preserve">. Elevated noise levels can disrupt communication, navigation, and feeding behaviors, leading to increased stress and altered migration patterns</w:t>
      </w:r>
      <w:r>
        <w:t xml:space="preserve"> </w:t>
      </w:r>
      <w:r>
        <w:t xml:space="preserve">(Nowacek et al., 2007)</w:t>
      </w:r>
      <w:r>
        <w:t xml:space="preserve">. Chronic exposure to underwater noise can also result in physical harm and population-level impacts</w:t>
      </w:r>
      <w:r>
        <w:t xml:space="preserve"> </w:t>
      </w:r>
      <w:r>
        <w:t xml:space="preserve">(Guan and Brookens, 2023)</w:t>
      </w:r>
      <w:r>
        <w:t xml:space="preserve">.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(Desai and Shambaugh, 2021; Ranjan et al., 2023)</w:t>
      </w:r>
      <w:r>
        <w:t xml:space="preserve">. The expansion of aquaculture operations often involves converting coastal wetlands, into fish or shrimp ponds, or constructing structures over mudflats</w:t>
      </w:r>
      <w:r>
        <w:t xml:space="preserve"> </w:t>
      </w:r>
      <w:r>
        <w:t xml:space="preserve">(Ahmed and Glaser, 2016)</w:t>
      </w:r>
      <w:r>
        <w:t xml:space="preserve">.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w:t>
      </w:r>
      <w:r>
        <w:t xml:space="preserve"> </w:t>
      </w:r>
      <w:r>
        <w:t xml:space="preserve">(Hagger et al., 2022)</w:t>
      </w:r>
      <w:r>
        <w:t xml:space="preserve">. Additionally, aquaculture activities contribute to nutrient enrichment and pollution in adjacent waters through the release of uneaten feed, faeces, and chemical additives, exacerbating eutrophication and altering benthic community structures</w:t>
      </w:r>
      <w:r>
        <w:t xml:space="preserve"> </w:t>
      </w:r>
      <w:r>
        <w:t xml:space="preserve">(Karakassis et al., 2005)</w:t>
      </w:r>
      <w:r>
        <w:t xml:space="preserve">. Another significant concern is the introduction of alien invasive species into the environment through aquaculture, which can disrupt local ecosystems and biodiversity</w:t>
      </w:r>
      <w:r>
        <w:t xml:space="preserve"> </w:t>
      </w:r>
      <w:r>
        <w:t xml:space="preserve">(Wolff and Reise, 2002)</w:t>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59"/>
    <w:bookmarkStart w:id="7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3" w:name="fig-TidalFlats"/>
          <w:p>
            <w:pPr>
              <w:pStyle w:val="Compact"/>
              <w:jc w:val="center"/>
            </w:pPr>
            <w:r>
              <w:drawing>
                <wp:inline>
                  <wp:extent cx="5943600" cy="4445497"/>
                  <wp:effectExtent b="0" l="0" r="0" t="0"/>
                  <wp:docPr descr="" title="" id="61" name="Picture"/>
                  <a:graphic>
                    <a:graphicData uri="http://schemas.openxmlformats.org/drawingml/2006/picture">
                      <pic:pic>
                        <pic:nvPicPr>
                          <pic:cNvPr descr="Chapter1/Figs/Murray_Tidalflats.png" id="62" name="Picture"/>
                          <pic:cNvPicPr>
                            <a:picLocks noChangeArrowheads="1" noChangeAspect="1"/>
                          </pic:cNvPicPr>
                        </pic:nvPicPr>
                        <pic:blipFill>
                          <a:blip r:embed="rId60"/>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6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1.4</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67" w:name="fig-Vegetations_intro"/>
          <w:p>
            <w:pPr>
              <w:pStyle w:val="Compact"/>
              <w:jc w:val="center"/>
            </w:pPr>
            <w:r>
              <w:drawing>
                <wp:inline>
                  <wp:extent cx="4754880" cy="7130391"/>
                  <wp:effectExtent b="0" l="0" r="0" t="0"/>
                  <wp:docPr descr="" title="" id="65" name="Picture"/>
                  <a:graphic>
                    <a:graphicData uri="http://schemas.openxmlformats.org/drawingml/2006/picture">
                      <pic:pic>
                        <pic:nvPicPr>
                          <pic:cNvPr descr="Chapter1/Figs/MPB/Figs_vegetations.png" id="66" name="Picture"/>
                          <pic:cNvPicPr>
                            <a:picLocks noChangeArrowheads="1" noChangeAspect="1"/>
                          </pic:cNvPicPr>
                        </pic:nvPicPr>
                        <pic:blipFill>
                          <a:blip r:embed="rId64"/>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67"/>
        </w:tc>
      </w:tr>
    </w:tbl>
    <w:bookmarkStart w:id="6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1.4</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68"/>
    <w:bookmarkStart w:id="6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1.4</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69"/>
    <w:bookmarkStart w:id="7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1.4</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70"/>
    <w:bookmarkStart w:id="7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1.4</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71"/>
    <w:bookmarkStart w:id="76"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1.4</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1.5</w:t>
        </w:r>
      </w:hyperlink>
      <w:r>
        <w:t xml:space="preserve">), many of which are commercially important</w:t>
      </w:r>
      <w:r>
        <w:t xml:space="preserve"> </w:t>
      </w:r>
      <w:r>
        <w:t xml:space="preserve">(Moussa et al., 2020)</w:t>
      </w:r>
      <w:r>
        <w:t xml:space="preserve">.</w:t>
      </w:r>
    </w:p>
    <w:tbl>
      <w:tblPr>
        <w:tblStyle w:val="Table"/>
        <w:tblW w:type="pct" w:w="5000"/>
        <w:tblLayout w:type="fixed"/>
        <w:tblLook w:firstRow="0" w:lastRow="0" w:firstColumn="0" w:lastColumn="0" w:noHBand="0" w:noVBand="0" w:val="0000"/>
      </w:tblPr>
      <w:tblGrid>
        <w:gridCol w:w="7920"/>
      </w:tblGrid>
      <w:tr>
        <w:tc>
          <w:tcPr/>
          <w:bookmarkStart w:id="75" w:name="fig-SeagrassHabitat"/>
          <w:p>
            <w:pPr>
              <w:pStyle w:val="Compact"/>
              <w:jc w:val="center"/>
            </w:pPr>
            <w:r>
              <w:drawing>
                <wp:inline>
                  <wp:extent cx="5943600" cy="7991317"/>
                  <wp:effectExtent b="0" l="0" r="0" t="0"/>
                  <wp:docPr descr="" title="" id="73" name="Picture"/>
                  <a:graphic>
                    <a:graphicData uri="http://schemas.openxmlformats.org/drawingml/2006/picture">
                      <pic:pic>
                        <pic:nvPicPr>
                          <pic:cNvPr descr="Chapter1/Figs/Publication_habitat/Seagrass_habitats.png" id="74" name="Picture"/>
                          <pic:cNvPicPr>
                            <a:picLocks noChangeArrowheads="1" noChangeAspect="1"/>
                          </pic:cNvPicPr>
                        </pic:nvPicPr>
                        <pic:blipFill>
                          <a:blip r:embed="rId7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75"/>
        </w:tc>
      </w:tr>
    </w:tbl>
    <w:p>
      <w:pPr>
        <w:pStyle w:val="BodyText"/>
      </w:pPr>
      <w:r>
        <w:t xml:space="preserve">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1.5</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However, spectral discrimination challenges arise when similar pigment compositions, such as those of seagrasses and green macroalgae, create overlapping spectral signatures in the visible and near-infrared regions. This issue is further compounded by vegetation mixing, where heterogeneous habitats result in mixed pixels that blend signals from multiple vegetation types and substrates. The following section explores how advancements in remote sensing technologies are transforming the study of coastal environments, enabling more efficient and scalable assessments.</w:t>
      </w:r>
    </w:p>
    <w:bookmarkEnd w:id="76"/>
    <w:bookmarkEnd w:id="77"/>
    <w:bookmarkEnd w:id="78"/>
    <w:bookmarkStart w:id="145"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83"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1.6</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82" w:name="fig-LIDAR"/>
          <w:p>
            <w:pPr>
              <w:pStyle w:val="Compact"/>
              <w:jc w:val="center"/>
            </w:pPr>
            <w:r>
              <w:drawing>
                <wp:inline>
                  <wp:extent cx="4160520" cy="4147803"/>
                  <wp:effectExtent b="0" l="0" r="0" t="0"/>
                  <wp:docPr descr="" title="" id="80" name="Picture"/>
                  <a:graphic>
                    <a:graphicData uri="http://schemas.openxmlformats.org/drawingml/2006/picture">
                      <pic:pic>
                        <pic:nvPicPr>
                          <pic:cNvPr descr="Chapter1/Figs/LIDAR.png" id="81" name="Picture"/>
                          <pic:cNvPicPr>
                            <a:picLocks noChangeArrowheads="1" noChangeAspect="1"/>
                          </pic:cNvPicPr>
                        </pic:nvPicPr>
                        <pic:blipFill>
                          <a:blip r:embed="rId7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82"/>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83"/>
    <w:bookmarkStart w:id="106"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1.7</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8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8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FigLightPath"/>
          <w:p>
            <w:pPr>
              <w:pStyle w:val="Compact"/>
              <w:jc w:val="center"/>
            </w:pPr>
            <w:r>
              <w:drawing>
                <wp:inline>
                  <wp:extent cx="5349240" cy="4260589"/>
                  <wp:effectExtent b="0" l="0" r="0" t="0"/>
                  <wp:docPr descr="" title="" id="86" name="Picture"/>
                  <a:graphic>
                    <a:graphicData uri="http://schemas.openxmlformats.org/drawingml/2006/picture">
                      <pic:pic>
                        <pic:nvPicPr>
                          <pic:cNvPr descr="Chapter1/Figs/FigLightPath.png" id="87" name="Picture"/>
                          <pic:cNvPicPr>
                            <a:picLocks noChangeArrowheads="1" noChangeAspect="1"/>
                          </pic:cNvPicPr>
                        </pic:nvPicPr>
                        <pic:blipFill>
                          <a:blip r:embed="rId8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8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2" w:name="fig-Spectral_signature"/>
          <w:p>
            <w:pPr>
              <w:pStyle w:val="Compact"/>
              <w:jc w:val="center"/>
            </w:pPr>
            <w:r>
              <w:drawing>
                <wp:inline>
                  <wp:extent cx="4754880" cy="3987354"/>
                  <wp:effectExtent b="0" l="0" r="0" t="0"/>
                  <wp:docPr descr="" title="" id="90" name="Picture"/>
                  <a:graphic>
                    <a:graphicData uri="http://schemas.openxmlformats.org/drawingml/2006/picture">
                      <pic:pic>
                        <pic:nvPicPr>
                          <pic:cNvPr descr="Chapter1/Figs/spectral_signatures.png" id="91" name="Picture"/>
                          <pic:cNvPicPr>
                            <a:picLocks noChangeArrowheads="1" noChangeAspect="1"/>
                          </pic:cNvPicPr>
                        </pic:nvPicPr>
                        <pic:blipFill>
                          <a:blip r:embed="rId8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spectral signature of vegetation (green), Water (blue) and bare soil (red). Absorption features of Chlorophyll-a are indicated for the spectra of vegetation.</w:t>
            </w:r>
          </w:p>
          <w:bookmarkEnd w:id="9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9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9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NIR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98" w:name="spectral-and-radiometric-resolution"/>
    <w:p>
      <w:pPr>
        <w:pStyle w:val="Heading4"/>
      </w:pPr>
      <w:r>
        <w:t xml:space="preserve">1.2.2.1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7" w:name="fig-Spectral_resolutions"/>
          <w:p>
            <w:pPr>
              <w:pStyle w:val="Compact"/>
              <w:jc w:val="center"/>
            </w:pPr>
            <w:r>
              <w:drawing>
                <wp:inline>
                  <wp:extent cx="5943600" cy="3130355"/>
                  <wp:effectExtent b="0" l="0" r="0" t="0"/>
                  <wp:docPr descr="" title="" id="95" name="Picture"/>
                  <a:graphic>
                    <a:graphicData uri="http://schemas.openxmlformats.org/drawingml/2006/picture">
                      <pic:pic>
                        <pic:nvPicPr>
                          <pic:cNvPr descr="Chapter1/Figs/Spectra_resolutions/Fig_SpectralResolution_chouchou.png" id="96" name="Picture"/>
                          <pic:cNvPicPr>
                            <a:picLocks noChangeArrowheads="1" noChangeAspect="1"/>
                          </pic:cNvPicPr>
                        </pic:nvPicPr>
                        <pic:blipFill>
                          <a:blip r:embed="rId9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97"/>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1.9</w:t>
        </w:r>
      </w:hyperlink>
      <w:r>
        <w:t xml:space="preserve"> </w:t>
      </w:r>
      <w:r>
        <w:t xml:space="preserve">D).</w:t>
      </w:r>
    </w:p>
    <w:bookmarkEnd w:id="98"/>
    <w:bookmarkStart w:id="99"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99"/>
    <w:bookmarkStart w:id="100" w:name="temporal-resolutions"/>
    <w:p>
      <w:pPr>
        <w:pStyle w:val="Heading4"/>
      </w:pPr>
      <w:r>
        <w:t xml:space="preserve">1.2.2.3 Temporal Resolutions</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1.10</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100"/>
    <w:bookmarkStart w:id="105"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1.10</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104" w:name="fig-ResolutionSatellite"/>
          <w:p>
            <w:pPr>
              <w:pStyle w:val="Compact"/>
              <w:jc w:val="center"/>
            </w:pPr>
            <w:r>
              <w:drawing>
                <wp:inline>
                  <wp:extent cx="5943600" cy="3500222"/>
                  <wp:effectExtent b="0" l="0" r="0" t="0"/>
                  <wp:docPr descr="" title="" id="102" name="Picture"/>
                  <a:graphic>
                    <a:graphicData uri="http://schemas.openxmlformats.org/drawingml/2006/picture">
                      <pic:pic>
                        <pic:nvPicPr>
                          <pic:cNvPr descr="Chapter1/Figs/Satellite_resolution.png" id="103" name="Picture"/>
                          <pic:cNvPicPr>
                            <a:picLocks noChangeArrowheads="1" noChangeAspect="1"/>
                          </pic:cNvPicPr>
                        </pic:nvPicPr>
                        <pic:blipFill>
                          <a:blip r:embed="rId101"/>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Intersection of spectral resolutions (x-axis), temporal resolutions (y-axis), and spatial resolutions (circle size) of the main satellite sensors used to observe coastal areas.</w:t>
            </w:r>
          </w:p>
          <w:bookmarkEnd w:id="104"/>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105"/>
    <w:bookmarkEnd w:id="106"/>
    <w:bookmarkStart w:id="134" w:name="about-drones"/>
    <w:p>
      <w:pPr>
        <w:pStyle w:val="Heading3"/>
      </w:pPr>
      <w:r>
        <w:t xml:space="preserve">1.2.3 About Drones</w:t>
      </w:r>
    </w:p>
    <w:bookmarkStart w:id="111"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1.11</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10" w:name="fig-pigeons"/>
          <w:p>
            <w:pPr>
              <w:pStyle w:val="Compact"/>
              <w:jc w:val="center"/>
            </w:pPr>
            <w:r>
              <w:drawing>
                <wp:inline>
                  <wp:extent cx="5349240" cy="4997316"/>
                  <wp:effectExtent b="0" l="0" r="0" t="0"/>
                  <wp:docPr descr="" title="" id="108" name="Picture"/>
                  <a:graphic>
                    <a:graphicData uri="http://schemas.openxmlformats.org/drawingml/2006/picture">
                      <pic:pic>
                        <pic:nvPicPr>
                          <pic:cNvPr descr="Chapter1/Figs/Neubronners/pigeons_compositions.png" id="109" name="Picture"/>
                          <pic:cNvPicPr>
                            <a:picLocks noChangeArrowheads="1" noChangeAspect="1"/>
                          </pic:cNvPicPr>
                        </pic:nvPicPr>
                        <pic:blipFill>
                          <a:blip r:embed="rId107"/>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One of Neubronner’s pigeons (Top), around 1910 equipped with a camera. The bottom shows a picture taken during a pigeon’s flight.</w:t>
            </w:r>
          </w:p>
          <w:bookmarkEnd w:id="110"/>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1.11</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11"/>
    <w:bookmarkStart w:id="112"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A.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12"/>
    <w:bookmarkStart w:id="118"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16" w:name="fig-overlaps"/>
          <w:p>
            <w:pPr>
              <w:pStyle w:val="Compact"/>
              <w:jc w:val="center"/>
            </w:pPr>
            <w:r>
              <w:drawing>
                <wp:inline>
                  <wp:extent cx="4533595" cy="4057192"/>
                  <wp:effectExtent b="0" l="0" r="0" t="0"/>
                  <wp:docPr descr="" title="" id="114" name="Picture"/>
                  <a:graphic>
                    <a:graphicData uri="http://schemas.openxmlformats.org/drawingml/2006/picture">
                      <pic:pic>
                        <pic:nvPicPr>
                          <pic:cNvPr descr="Chapter1/Figs/Drone_overlaps.jpg" id="115" name="Picture"/>
                          <pic:cNvPicPr>
                            <a:picLocks noChangeArrowheads="1" noChangeAspect="1"/>
                          </pic:cNvPicPr>
                        </pic:nvPicPr>
                        <pic:blipFill>
                          <a:blip r:embed="rId113"/>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overlapping of a drone</w:t>
            </w:r>
          </w:p>
          <w:bookmarkEnd w:id="116"/>
        </w:tc>
      </w:tr>
    </w:tbl>
    <w:p>
      <w:pPr>
        <w:pStyle w:val="BodyText"/>
      </w:pPr>
      <w:r>
        <w:t xml:space="preserve">A key parameter in drone-based image acquisition is the overlap between images (</w:t>
      </w:r>
      <w:hyperlink w:anchor="fig-overlaps">
        <w:r>
          <w:rPr>
            <w:rStyle w:val="Hyperlink"/>
          </w:rPr>
          <w:t xml:space="preserve">Figure 1.12</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17"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17"/>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18"/>
    <w:bookmarkStart w:id="133"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bookmarkStart w:id="123"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1.13</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22" w:name="fig-img_preprocessing"/>
          <w:p>
            <w:pPr>
              <w:pStyle w:val="Compact"/>
              <w:jc w:val="center"/>
            </w:pPr>
            <w:r>
              <w:drawing>
                <wp:inline>
                  <wp:extent cx="5349240" cy="4071564"/>
                  <wp:effectExtent b="0" l="0" r="0" t="0"/>
                  <wp:docPr descr="" title="" id="120" name="Picture"/>
                  <a:graphic>
                    <a:graphicData uri="http://schemas.openxmlformats.org/drawingml/2006/picture">
                      <pic:pic>
                        <pic:nvPicPr>
                          <pic:cNvPr descr="Chapter1/Figs/distortion.png" id="121" name="Picture"/>
                          <pic:cNvPicPr>
                            <a:picLocks noChangeArrowheads="1" noChangeAspect="1"/>
                          </pic:cNvPicPr>
                        </pic:nvPicPr>
                        <pic:blipFill>
                          <a:blip r:embed="rId119"/>
                          <a:stretch>
                            <a:fillRect/>
                          </a:stretch>
                        </pic:blipFill>
                        <pic:spPr bwMode="auto">
                          <a:xfrm>
                            <a:off x="0" y="0"/>
                            <a:ext cx="5349240" cy="4071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Schematic representation of image pre-processing for orthomosaic reconstruction, showing correction of the distortion (A &amp; B) and correction of the vignetting (C &amp; D).</w:t>
            </w:r>
          </w:p>
          <w:bookmarkEnd w:id="122"/>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23"/>
    <w:bookmarkStart w:id="124"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24"/>
    <w:bookmarkStart w:id="125"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25"/>
    <w:bookmarkStart w:id="130" w:name="X26921446a443cea93219a98d36f4c5dd3a3f8b0"/>
    <w:p>
      <w:pPr>
        <w:pStyle w:val="Heading5"/>
      </w:pPr>
      <w:r>
        <w:t xml:space="preserve">1.2.3.4.4 Digital Surface Model (DSM) / Digital Terrain Model (DTM)</w:t>
      </w:r>
    </w:p>
    <w:p>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9" w:name="fig-DSMDTM"/>
          <w:p>
            <w:pPr>
              <w:pStyle w:val="Compact"/>
              <w:jc w:val="center"/>
            </w:pPr>
            <w:r>
              <w:drawing>
                <wp:inline>
                  <wp:extent cx="5349240" cy="2673633"/>
                  <wp:effectExtent b="0" l="0" r="0" t="0"/>
                  <wp:docPr descr="" title="" id="127" name="Picture"/>
                  <a:graphic>
                    <a:graphicData uri="http://schemas.openxmlformats.org/drawingml/2006/picture">
                      <pic:pic>
                        <pic:nvPicPr>
                          <pic:cNvPr descr="Chapter1/Figs/DSM_DTM.png" id="128" name="Picture"/>
                          <pic:cNvPicPr>
                            <a:picLocks noChangeArrowheads="1" noChangeAspect="1"/>
                          </pic:cNvPicPr>
                        </pic:nvPicPr>
                        <pic:blipFill>
                          <a:blip r:embed="rId126"/>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Representation of differences between the Digital Surface Model (DSM), the Digital Terrain model (DTM) and the Digital Height Model (DHM).</w:t>
            </w:r>
          </w:p>
          <w:bookmarkEnd w:id="129"/>
        </w:tc>
      </w:tr>
    </w:tbl>
    <w:bookmarkEnd w:id="130"/>
    <w:bookmarkStart w:id="131"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31"/>
    <w:bookmarkStart w:id="132"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pPr>
        <w:pStyle w:val="BodyText"/>
      </w:pPr>
      <w:r>
        <w:t xml:space="preserve">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bookmarkEnd w:id="132"/>
    <w:bookmarkEnd w:id="133"/>
    <w:bookmarkEnd w:id="134"/>
    <w:bookmarkStart w:id="139" w:name="machine-learning"/>
    <w:p>
      <w:pPr>
        <w:pStyle w:val="Heading3"/>
      </w:pPr>
      <w:r>
        <w:t xml:space="preserve">1.2.4 Machine Learning</w:t>
      </w:r>
    </w:p>
    <w:p>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w:t>
      </w:r>
      <w:r>
        <w:t xml:space="preserve"> </w:t>
      </w:r>
      <w:r>
        <w:t xml:space="preserve">(Sarker, 2021)</w:t>
      </w:r>
      <w:r>
        <w:t xml:space="preserve">.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operations. While initially intended as a tool for exploring the limits of computation, the principles behind the Turing Machine laid the groundwork for modern machine learning and deep learning</w:t>
      </w:r>
      <w:r>
        <w:t xml:space="preserve"> </w:t>
      </w:r>
      <w:r>
        <w:t xml:space="preserve">(Malekmohamadi Faradonbe et al., 2020)</w:t>
      </w:r>
      <w:r>
        <w:t xml:space="preserve">.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p>
    <w:p>
      <w:pPr>
        <w:pStyle w:val="BodyText"/>
      </w:pPr>
      <w:r>
        <w:t xml:space="preserve">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pPr>
        <w:pStyle w:val="BodyText"/>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pPr>
        <w:pStyle w:val="BodyText"/>
      </w:pPr>
      <w:r>
        <w:t xml:space="preserve">A notable example of supervised machine learning is the Random Forest algorithm, developed by Leo Breiman in 2001</w:t>
      </w:r>
      <w:r>
        <w:t xml:space="preserve"> </w:t>
      </w:r>
      <w:r>
        <w:t xml:space="preserve">(Breiman, 2001)</w:t>
      </w:r>
      <w:r>
        <w:t xml:space="preserve">. This learning technique constructs multiple decision trees during training by drawing random subsets of the training data with replacement (a process known as bagging) and selecting a random subset of features at each split.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Hyperlink"/>
          </w:rPr>
          <w:t xml:space="preserve">Figure 1.15</w:t>
        </w:r>
      </w:hyperlink>
      <w:r>
        <w:t xml:space="preserve"> </w:t>
      </w:r>
      <w:r>
        <w:t xml:space="preserve">X).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w:t>
      </w:r>
      <w:r>
        <w:t xml:space="preserve"> </w:t>
      </w:r>
      <w:r>
        <w:t xml:space="preserve">(Zhu, 2020)</w:t>
      </w:r>
      <w:r>
        <w:t xml:space="preserve">.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p>
      <w:pPr>
        <w:pStyle w:val="BodyText"/>
      </w:pPr>
      <w:r>
        <w:t xml:space="preserve">Neural networks, an essential component of deep learning, are inspired by the structure and function of biological neural networks in the human brain</w:t>
      </w:r>
      <w:r>
        <w:t xml:space="preserve"> </w:t>
      </w:r>
      <w:r>
        <w:t xml:space="preserve">(Abiodun et al., 2018)</w:t>
      </w:r>
      <w:r>
        <w:t xml:space="preserve">. These computational models consist of interconnected nodes, or neurons, organized into layers that process and transform data through weighted connections. Originating in the mid-20th century with early work by researchers such as Warren McCulloch</w:t>
      </w:r>
      <w:r>
        <w:t xml:space="preserve"> </w:t>
      </w:r>
      <w:r>
        <w:t xml:space="preserve">(McCulloch and Pitts, 1943)</w:t>
      </w:r>
      <w:r>
        <w:t xml:space="preserve"> </w:t>
      </w:r>
      <w:r>
        <w:t xml:space="preserve">and Walter Pitts</w:t>
      </w:r>
      <w:r>
        <w:t xml:space="preserve"> </w:t>
      </w:r>
      <w:r>
        <w:t xml:space="preserve">(Pitts, 1943)</w:t>
      </w:r>
      <w:r>
        <w:t xml:space="preserve">, neural networks initially struggled with computational limitations and theoretical challenges. The development of backpropagation in the 1980s, a method for optimizing weights by minimizing error, marked a significant breakthrough</w:t>
      </w:r>
      <w:r>
        <w:t xml:space="preserve"> </w:t>
      </w:r>
      <w:r>
        <w:t xml:space="preserve">(Werbos, 1974)</w:t>
      </w:r>
      <w:r>
        <w:t xml:space="preserve">.</w:t>
      </w:r>
    </w:p>
    <w:p>
      <w:pPr>
        <w:pStyle w:val="BodyText"/>
      </w:pPr>
      <w:r>
        <w:t xml:space="preserve">Neural networks are particularly novel due to their ability to model complex, non-linear relationships in data</w:t>
      </w:r>
      <w:r>
        <w:t xml:space="preserve"> </w:t>
      </w:r>
      <w:r>
        <w:t xml:space="preserve">(Mienye et al., 2024)</w:t>
      </w:r>
      <w:r>
        <w:t xml:space="preserve">. They operate through an input layer that receives data, one or more hidden layers that extract features and learn representations, and an output layer that delivers predictions or classifications</w:t>
      </w:r>
      <w:r>
        <w:t xml:space="preserve"> </w:t>
      </w:r>
      <w:r>
        <w:t xml:space="preserve">(Werbos, 1974)</w:t>
      </w:r>
      <w:r>
        <w:t xml:space="preserve">.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pPr>
        <w:pStyle w:val="BodyText"/>
      </w:pPr>
      <w:r>
        <w:t xml:space="preserve">The learning curve, which represents the model’s performance over time, provides critical insights into training dynamics (</w:t>
      </w:r>
      <w:hyperlink w:anchor="fig-learningRates">
        <w:r>
          <w:rPr>
            <w:rStyle w:val="Hyperlink"/>
          </w:rPr>
          <w:t xml:space="preserve">Figure 1.15</w:t>
        </w:r>
      </w:hyperlink>
      <w:r>
        <w:t xml:space="preserve">).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type="pct" w:w="5000"/>
        <w:tblLayout w:type="fixed"/>
        <w:tblLook w:firstRow="0" w:lastRow="0" w:firstColumn="0" w:lastColumn="0" w:noHBand="0" w:noVBand="0" w:val="0000"/>
      </w:tblPr>
      <w:tblGrid>
        <w:gridCol w:w="7920"/>
      </w:tblGrid>
      <w:tr>
        <w:tc>
          <w:tcPr/>
          <w:bookmarkStart w:id="138" w:name="fig-learningRates"/>
          <w:p>
            <w:pPr>
              <w:pStyle w:val="Compact"/>
              <w:jc w:val="center"/>
            </w:pPr>
            <w:r>
              <w:drawing>
                <wp:inline>
                  <wp:extent cx="5349240" cy="4137643"/>
                  <wp:effectExtent b="0" l="0" r="0" t="0"/>
                  <wp:docPr descr="" title="" id="136" name="Picture"/>
                  <a:graphic>
                    <a:graphicData uri="http://schemas.openxmlformats.org/drawingml/2006/picture">
                      <pic:pic>
                        <pic:nvPicPr>
                          <pic:cNvPr descr="Chapter1/Figs/Model_fitting.png" id="137" name="Picture"/>
                          <pic:cNvPicPr>
                            <a:picLocks noChangeArrowheads="1" noChangeAspect="1"/>
                          </pic:cNvPicPr>
                        </pic:nvPicPr>
                        <pic:blipFill>
                          <a:blip r:embed="rId135"/>
                          <a:stretch>
                            <a:fillRect/>
                          </a:stretch>
                        </pic:blipFill>
                        <pic:spPr bwMode="auto">
                          <a:xfrm>
                            <a:off x="0" y="0"/>
                            <a:ext cx="5349240" cy="41376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Representation of the impact of Under- Optimal- and Over-fitting on Regression and Classification machine learning models. The bottom row shows a representation of the learning curve of each scenario.</w:t>
            </w:r>
          </w:p>
          <w:bookmarkEnd w:id="138"/>
        </w:tc>
      </w:tr>
    </w:tbl>
    <w:p>
      <w:pPr>
        <w:pStyle w:val="BodyText"/>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w:t>
      </w:r>
      <w:r>
        <w:t xml:space="preserve"> </w:t>
      </w:r>
      <w:r>
        <w:t xml:space="preserve">(Cheng and Titterington, 1994; Kattenborn et al., 2021; Yuan et al., 2021)</w:t>
      </w:r>
      <w:r>
        <w:t xml:space="preserve">. Neural networks are computationally intensive, requiring significant processing power and large datasets for effective training. They are also prone to overfitting, especially with small datasets, and their decision-making processes can be opaque, often referred to as the</w:t>
      </w:r>
      <w:r>
        <w:t xml:space="preserve"> </w:t>
      </w:r>
      <w:r>
        <w:t xml:space="preserve">“black box”</w:t>
      </w:r>
      <w:r>
        <w:t xml:space="preserve"> </w:t>
      </w:r>
      <w:r>
        <w:t xml:space="preserve">problem. Despite these challenges, advancements in architectures, such as convolutional and recurrent neural networks, and optimization techniques continue to expand their applicability and effectiveness across domains.</w:t>
      </w:r>
    </w:p>
    <w:p>
      <w:pPr>
        <w:pStyle w:val="BodyText"/>
      </w:pPr>
      <w:r>
        <w:t xml:space="preserve">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subset of machine learning characterized by its use of neural networks with multiple layers. This paradigm shift has enabled significant breakthroughs, particularly in areas such as image recognition, natural language processing, and autonomous systems.</w:t>
      </w:r>
    </w:p>
    <w:p>
      <w:pPr>
        <w:pStyle w:val="BodyText"/>
      </w:pPr>
      <w:r>
        <w:t xml:space="preserve">The utility of machine learning lies in its adaptability and scalability across disciplines. From enabling predictive analytics in healthcare to enhancing environmental monitoring through RS,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bookmarkEnd w:id="139"/>
    <w:bookmarkStart w:id="144" w:name="X6e0637a84264a80c0e5f6545e17679d348073aa"/>
    <w:p>
      <w:pPr>
        <w:pStyle w:val="Heading3"/>
      </w:pPr>
      <w:r>
        <w:t xml:space="preserve">1.2.5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sensitive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 pp. Figure 1.16)</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ecosystem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E. Papathanasopoulou et al., 2019)</w:t>
      </w:r>
    </w:p>
    <w:tbl>
      <w:tblPr>
        <w:tblStyle w:val="Table"/>
        <w:tblW w:type="pct" w:w="5000"/>
        <w:tblLayout w:type="fixed"/>
        <w:tblLook w:firstRow="0" w:lastRow="0" w:firstColumn="0" w:lastColumn="0" w:noHBand="0" w:noVBand="0" w:val="0000"/>
      </w:tblPr>
      <w:tblGrid>
        <w:gridCol w:w="7920"/>
      </w:tblGrid>
      <w:tr>
        <w:tc>
          <w:tcPr/>
          <w:bookmarkStart w:id="143" w:name="fig-MullerKarger"/>
          <w:p>
            <w:pPr>
              <w:pStyle w:val="Compact"/>
              <w:jc w:val="center"/>
            </w:pPr>
            <w:r>
              <w:drawing>
                <wp:inline>
                  <wp:extent cx="5370954" cy="3613620"/>
                  <wp:effectExtent b="0" l="0" r="0" t="0"/>
                  <wp:docPr descr="" title="" id="141" name="Picture"/>
                  <a:graphic>
                    <a:graphicData uri="http://schemas.openxmlformats.org/drawingml/2006/picture">
                      <pic:pic>
                        <pic:nvPicPr>
                          <pic:cNvPr descr="Chapter1/Figs/muller_EBVs.png" id="142" name="Picture"/>
                          <pic:cNvPicPr>
                            <a:picLocks noChangeArrowheads="1" noChangeAspect="1"/>
                          </pic:cNvPicPr>
                        </pic:nvPicPr>
                        <pic:blipFill>
                          <a:blip r:embed="rId140"/>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43"/>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vegetation or phytoplankton types</w:t>
      </w:r>
      <w:r>
        <w:t xml:space="preserve"> </w:t>
      </w:r>
      <w:r>
        <w:t xml:space="preserve">(Fyfe, 2003; Launeau et al., 2018; Méléder et al., 2018)</w:t>
      </w:r>
      <w:r>
        <w:t xml:space="preserve">. Identification relies partly on the presence of spectral absorption bands in the visible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44"/>
    <w:bookmarkEnd w:id="145"/>
    <w:bookmarkStart w:id="146"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RS.</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rPr>
          <w:b/>
          <w:bCs/>
        </w:rPr>
        <w:t xml:space="preserve">Chapter 2</w:t>
      </w:r>
      <w:r>
        <w:t xml:space="preserve"> </w:t>
      </w:r>
      <w:r>
        <w:t xml:space="preserve">establishes the foundation by analyzing a spectral library to assess the feasibility of distinguishing different types of vegetation using RS. It demonstrated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observations,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future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46"/>
    <w:bookmarkEnd w:id="147"/>
    <w:bookmarkStart w:id="216" w:name="X2a43c79c57fbde6f1894e77d006f46c799fd383"/>
    <w:p>
      <w:pPr>
        <w:pStyle w:val="Heading1"/>
      </w:pPr>
      <w:r>
        <w:t xml:space="preserve">2. Multispectral and hyperspectral classification of intertidal vegetation using a spectral library for coastal biodiversity remote sensing</w:t>
      </w:r>
    </w:p>
    <w:bookmarkStart w:id="148" w:name="abstract"/>
    <w:p>
      <w:pPr>
        <w:pStyle w:val="Heading2"/>
      </w:pPr>
      <w:r>
        <w:t xml:space="preserve">Abstract</w:t>
      </w:r>
    </w:p>
    <w:p>
      <w:pPr>
        <w:pStyle w:val="FirstParagraph"/>
      </w:pPr>
      <w:r>
        <w:t xml:space="preserve">Monitoring biodiversity and how anthropogenic pressures impact this is critical, especially as anthropogenically driven climate change continues to affect all ecosystems. Intertidal areas are exposed to particularly high levels of pressures owing to increased population density in coastal areas. Traditional methods of monitoring intertidal areas do not provide datasets with full coverage in a cost-effective or timely manner, and so the use of remote sensing to monitor these areas is becoming more common. Monitoring of ecologically important monospecific habitats, such as seagrass beds, using remote sensing techniques is well documented. However, the ability for multispectral data to distinguish efficiently and accurately between classes of vegetation with similar pigment composition, such as seagrass and green algae, has proved difficult, often requiring hyperspectral data. A machine learning approach was used to differentiate between soft-bottom intertidal vegetation classes when exposed at low tide, comparing 6 different multi- and hyperspectral remote and in situ sensors. For the library of 366 spectra, collected across Northern Europe, high accuracy (&gt;80%) was found across all spectral resolutions. While a higher spectral resolution resulted in higher accuracy, there was no discernible increase in accuracy above 10 spectral bands (95%: Sentinel-2 MSI sensor with a spatial resolution of 20 m). This work highlights the ability of multispectral sensors to discriminate intertidal vegetation types, while also showing the most important wavelengths for this discrimination (530 and 730 nm), giving recommendations for spectral ranges of future satellite missions. The ability for multispectral sensors to aid in accurate and rapid intertidal vegetation classification at the taxonomic resolution of classes, could be a significant contribution for future sustainable and effective ecosystem management.</w:t>
      </w:r>
    </w:p>
    <w:bookmarkEnd w:id="148"/>
    <w:bookmarkStart w:id="149"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WFD</w:t>
      </w:r>
      <w:r>
        <w:t xml:space="preserve"> </w:t>
      </w:r>
      <w:r>
        <w:t xml:space="preserve">(Parliament and Council, 2001)</w:t>
      </w:r>
      <w:r>
        <w:t xml:space="preserve">, and the Marine Strategy Framework Directive MSFD</w:t>
      </w:r>
      <w:r>
        <w:t xml:space="preserve"> </w:t>
      </w:r>
      <w:r>
        <w:t xml:space="preserve">(Parliament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2022a;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2022a;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49"/>
    <w:bookmarkStart w:id="172" w:name="materials-and-methods"/>
    <w:p>
      <w:pPr>
        <w:pStyle w:val="Heading2"/>
      </w:pPr>
      <w:r>
        <w:t xml:space="preserve">2.2 Materials and Methods</w:t>
      </w:r>
    </w:p>
    <w:bookmarkStart w:id="16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53" w:name="tbl-SPECIESTABLE"/>
          <w:p>
            <w:pPr>
              <w:jc w:val="center"/>
            </w:pPr>
            <w:pPr>
              <w:jc w:val="start"/>
              <w:spacing w:before="200"/>
              <w:pStyle w:val="ImageCaption"/>
            </w:pPr>
            <w:r>
              <w:t xml:space="preserve">Table 2.1: Number of spectra samples taken across species and classes with references of where and when the data were collected. Mont Saint-Michel Bay was abbreviated to MSM. The location of sampling sites are shown in</w:t>
            </w:r>
            <w:r>
              <w:t xml:space="preserve"> </w:t>
            </w:r>
            <w:hyperlink w:anchor="fig-FIGMAP">
              <w:r>
                <w:rPr>
                  <w:rStyle w:val="Hyperlink"/>
                </w:rPr>
                <w:t xml:space="preserve">Figure 2.2</w:t>
              </w:r>
            </w:hyperlink>
            <w:r>
              <w:t xml:space="preserve">.</w:t>
            </w:r>
          </w:p>
          <w:p>
            <w:pPr>
              <w:jc w:val="center"/>
            </w:pPr>
            <w:r>
              <w:drawing>
                <wp:inline>
                  <wp:extent cx="5646420" cy="6886832"/>
                  <wp:effectExtent b="0" l="0" r="0" t="0"/>
                  <wp:docPr descr="" title="" id="151" name="Picture"/>
                  <a:graphic>
                    <a:graphicData uri="http://schemas.openxmlformats.org/drawingml/2006/picture">
                      <pic:pic>
                        <pic:nvPicPr>
                          <pic:cNvPr descr="Chapter2/Figs/SPECIESTABLE.png" id="152" name="Picture"/>
                          <pic:cNvPicPr>
                            <a:picLocks noChangeArrowheads="1" noChangeAspect="1"/>
                          </pic:cNvPicPr>
                        </pic:nvPicPr>
                        <pic:blipFill>
                          <a:blip r:embed="rId150"/>
                          <a:stretch>
                            <a:fillRect/>
                          </a:stretch>
                        </pic:blipFill>
                        <pic:spPr bwMode="auto">
                          <a:xfrm>
                            <a:off x="0" y="0"/>
                            <a:ext cx="5646420" cy="6886832"/>
                          </a:xfrm>
                          <a:prstGeom prst="rect">
                            <a:avLst/>
                          </a:prstGeom>
                          <a:noFill/>
                          <a:ln w="9525">
                            <a:noFill/>
                            <a:headEnd/>
                            <a:tailEnd/>
                          </a:ln>
                        </pic:spPr>
                      </pic:pic>
                    </a:graphicData>
                  </a:graphic>
                </wp:inline>
              </w:drawing>
            </w:r>
          </w:p>
          <w:bookmarkEnd w:id="153"/>
        </w:tc>
      </w:tr>
    </w:tbl>
    <w:tbl>
      <w:tblPr>
        <w:tblStyle w:val="Table"/>
        <w:tblW w:type="pct" w:w="5000"/>
        <w:tblLayout w:type="fixed"/>
        <w:tblLook w:firstRow="0" w:lastRow="0" w:firstColumn="0" w:lastColumn="0" w:noHBand="0" w:noVBand="0" w:val="0000"/>
      </w:tblPr>
      <w:tblGrid>
        <w:gridCol w:w="7920"/>
      </w:tblGrid>
      <w:tr>
        <w:tc>
          <w:tcPr/>
          <w:bookmarkStart w:id="157" w:name="fig-Images"/>
          <w:p>
            <w:pPr>
              <w:pStyle w:val="Compact"/>
              <w:jc w:val="center"/>
            </w:pPr>
            <w:r>
              <w:drawing>
                <wp:inline>
                  <wp:extent cx="5401056" cy="3444240"/>
                  <wp:effectExtent b="0" l="0" r="0" t="0"/>
                  <wp:docPr descr="" title="" id="155" name="Picture"/>
                  <a:graphic>
                    <a:graphicData uri="http://schemas.openxmlformats.org/drawingml/2006/picture">
                      <pic:pic>
                        <pic:nvPicPr>
                          <pic:cNvPr descr="Chapter2/Figs/Figure1.jpg" id="156" name="Picture"/>
                          <pic:cNvPicPr>
                            <a:picLocks noChangeArrowheads="1" noChangeAspect="1"/>
                          </pic:cNvPicPr>
                        </pic:nvPicPr>
                        <pic:blipFill>
                          <a:blip r:embed="rId15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w:t>
            </w:r>
            <w:r>
              <w:rPr>
                <w:i/>
                <w:iCs/>
              </w:rPr>
              <w:t xml:space="preserve">Fucus vesiculosus</w:t>
            </w:r>
            <w:r>
              <w:t xml:space="preserve">), b: Magnoliopsida (</w:t>
            </w:r>
            <w:r>
              <w:rPr>
                <w:i/>
                <w:iCs/>
              </w:rPr>
              <w:t xml:space="preserve">Zostera noltei</w:t>
            </w:r>
            <w:r>
              <w:t xml:space="preserve">), c: Ulvophyceae (</w:t>
            </w:r>
            <w:r>
              <w:rPr>
                <w:i/>
                <w:iCs/>
              </w:rPr>
              <w:t xml:space="preserve">Ulva linza</w:t>
            </w:r>
            <w:r>
              <w:t xml:space="preserve">), d: Bacillariophyceae (Diatoms) and e: Xanthophyceae (</w:t>
            </w:r>
            <w:r>
              <w:rPr>
                <w:i/>
                <w:iCs/>
              </w:rPr>
              <w:t xml:space="preserve">Vaucheria</w:t>
            </w:r>
            <w:r>
              <w:t xml:space="preserve"> </w:t>
            </w:r>
            <w:r>
              <w:t xml:space="preserve">spp.)). Scale bars show approximate scale.</w:t>
            </w:r>
          </w:p>
          <w:bookmarkEnd w:id="15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61" w:name="fig-FIGMAP"/>
          <w:p>
            <w:pPr>
              <w:pStyle w:val="Compact"/>
              <w:jc w:val="center"/>
            </w:pPr>
            <w:r>
              <w:drawing>
                <wp:inline>
                  <wp:extent cx="5646420" cy="5231701"/>
                  <wp:effectExtent b="0" l="0" r="0" t="0"/>
                  <wp:docPr descr="" title="" id="159" name="Picture"/>
                  <a:graphic>
                    <a:graphicData uri="http://schemas.openxmlformats.org/drawingml/2006/picture">
                      <pic:pic>
                        <pic:nvPicPr>
                          <pic:cNvPr descr="Chapter2/Figs/Figure2_Bede.jpg" id="160" name="Picture"/>
                          <pic:cNvPicPr>
                            <a:picLocks noChangeArrowheads="1" noChangeAspect="1"/>
                          </pic:cNvPicPr>
                        </pic:nvPicPr>
                        <pic:blipFill>
                          <a:blip r:embed="rId158"/>
                          <a:stretch>
                            <a:fillRect/>
                          </a:stretch>
                        </pic:blipFill>
                        <pic:spPr bwMode="auto">
                          <a:xfrm>
                            <a:off x="0" y="0"/>
                            <a:ext cx="5646420" cy="5231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61"/>
        </w:tc>
      </w:tr>
    </w:tbl>
    <w:bookmarkEnd w:id="162"/>
    <w:bookmarkStart w:id="171" w:name="data-analysis"/>
    <w:p>
      <w:pPr>
        <w:pStyle w:val="Heading3"/>
      </w:pPr>
      <w:r>
        <w:t xml:space="preserve">2.2.2 Data Analysis</w:t>
      </w:r>
    </w:p>
    <w:bookmarkStart w:id="167"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66" w:name="fig-SpectraDegFIG"/>
          <w:p>
            <w:pPr>
              <w:pStyle w:val="Compact"/>
              <w:jc w:val="center"/>
            </w:pPr>
            <w:r>
              <w:drawing>
                <wp:inline>
                  <wp:extent cx="5646420" cy="5772811"/>
                  <wp:effectExtent b="0" l="0" r="0" t="0"/>
                  <wp:docPr descr="" title="" id="164" name="Picture"/>
                  <a:graphic>
                    <a:graphicData uri="http://schemas.openxmlformats.org/drawingml/2006/picture">
                      <pic:pic>
                        <pic:nvPicPr>
                          <pic:cNvPr descr="Chapter2/Figs/Figure3_Bede.jpg" id="165" name="Picture"/>
                          <pic:cNvPicPr>
                            <a:picLocks noChangeArrowheads="1" noChangeAspect="1"/>
                          </pic:cNvPicPr>
                        </pic:nvPicPr>
                        <pic:blipFill>
                          <a:blip r:embed="rId163"/>
                          <a:stretch>
                            <a:fillRect/>
                          </a:stretch>
                        </pic:blipFill>
                        <pic:spPr bwMode="auto">
                          <a:xfrm>
                            <a:off x="0" y="0"/>
                            <a:ext cx="5646420" cy="57728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66"/>
        </w:tc>
      </w:tr>
    </w:tbl>
    <w:bookmarkEnd w:id="167"/>
    <w:bookmarkStart w:id="169"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2022a)</w:t>
      </w:r>
      <w:r>
        <w:t xml:space="preserve">:</w:t>
      </w:r>
    </w:p>
    <w:p>
      <w:pPr>
        <w:pStyle w:val="BodyText"/>
      </w:pPr>
      <w:bookmarkStart w:id="168" w:name="eq-stdspectra"/>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2.1</m:t>
              </m:r>
            </m:e>
          </m:d>
        </m:oMath>
      </m:oMathPara>
      <w:bookmarkEnd w:id="168"/>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69"/>
    <w:bookmarkStart w:id="170"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70"/>
    <w:bookmarkEnd w:id="171"/>
    <w:bookmarkEnd w:id="172"/>
    <w:bookmarkStart w:id="205" w:name="results"/>
    <w:p>
      <w:pPr>
        <w:pStyle w:val="Heading2"/>
      </w:pPr>
      <w:r>
        <w:t xml:space="preserve">2.3 Results</w:t>
      </w:r>
    </w:p>
    <w:bookmarkStart w:id="177"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76" w:name="fig-SpectraFIG"/>
          <w:p>
            <w:pPr>
              <w:pStyle w:val="Compact"/>
              <w:jc w:val="center"/>
            </w:pPr>
            <w:r>
              <w:drawing>
                <wp:inline>
                  <wp:extent cx="5646420" cy="5598319"/>
                  <wp:effectExtent b="0" l="0" r="0" t="0"/>
                  <wp:docPr descr="" title="" id="174" name="Picture"/>
                  <a:graphic>
                    <a:graphicData uri="http://schemas.openxmlformats.org/drawingml/2006/picture">
                      <pic:pic>
                        <pic:nvPicPr>
                          <pic:cNvPr descr="Chapter2/Figs/Figure4_Bede.jpg" id="175" name="Picture"/>
                          <pic:cNvPicPr>
                            <a:picLocks noChangeArrowheads="1" noChangeAspect="1"/>
                          </pic:cNvPicPr>
                        </pic:nvPicPr>
                        <pic:blipFill>
                          <a:blip r:embed="rId173"/>
                          <a:stretch>
                            <a:fillRect/>
                          </a:stretch>
                        </pic:blipFill>
                        <pic:spPr bwMode="auto">
                          <a:xfrm>
                            <a:off x="0" y="0"/>
                            <a:ext cx="5646420" cy="55983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76"/>
        </w:tc>
      </w:tr>
    </w:tbl>
    <w:bookmarkEnd w:id="177"/>
    <w:bookmarkStart w:id="182"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81" w:name="fig-MDSFIG"/>
          <w:p>
            <w:pPr>
              <w:pStyle w:val="Compact"/>
              <w:jc w:val="center"/>
            </w:pPr>
            <w:r>
              <w:drawing>
                <wp:inline>
                  <wp:extent cx="5646420" cy="5614362"/>
                  <wp:effectExtent b="0" l="0" r="0" t="0"/>
                  <wp:docPr descr="" title="" id="179" name="Picture"/>
                  <a:graphic>
                    <a:graphicData uri="http://schemas.openxmlformats.org/drawingml/2006/picture">
                      <pic:pic>
                        <pic:nvPicPr>
                          <pic:cNvPr descr="Chapter2/Figs/Figure5_Bede.jpg" id="180" name="Picture"/>
                          <pic:cNvPicPr>
                            <a:picLocks noChangeArrowheads="1" noChangeAspect="1"/>
                          </pic:cNvPicPr>
                        </pic:nvPicPr>
                        <pic:blipFill>
                          <a:blip r:embed="rId178"/>
                          <a:stretch>
                            <a:fillRect/>
                          </a:stretch>
                        </pic:blipFill>
                        <pic:spPr bwMode="auto">
                          <a:xfrm>
                            <a:off x="0" y="0"/>
                            <a:ext cx="5646420" cy="56143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81"/>
        </w:tc>
      </w:tr>
    </w:tbl>
    <w:bookmarkEnd w:id="182"/>
    <w:bookmarkStart w:id="199"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w:t>
      </w:r>
      <w:hyperlink w:anchor="fig-VIPFunction">
        <w:r>
          <w:rPr>
            <w:rStyle w:val="Hyperlink"/>
          </w:rPr>
          <w:t xml:space="preserve">Figure 2.8</w:t>
        </w:r>
      </w:hyperlink>
      <w:r>
        <w:t xml:space="preserve">).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86" w:name="fig-MetricsFIG"/>
          <w:p>
            <w:pPr>
              <w:pStyle w:val="Compact"/>
              <w:jc w:val="center"/>
            </w:pPr>
            <w:r>
              <w:drawing>
                <wp:inline>
                  <wp:extent cx="5646420" cy="5616787"/>
                  <wp:effectExtent b="0" l="0" r="0" t="0"/>
                  <wp:docPr descr="" title="" id="184" name="Picture"/>
                  <a:graphic>
                    <a:graphicData uri="http://schemas.openxmlformats.org/drawingml/2006/picture">
                      <pic:pic>
                        <pic:nvPicPr>
                          <pic:cNvPr descr="Chapter2/Figs/Figure6_Bede.jpg" id="185" name="Picture"/>
                          <pic:cNvPicPr>
                            <a:picLocks noChangeArrowheads="1" noChangeAspect="1"/>
                          </pic:cNvPicPr>
                        </pic:nvPicPr>
                        <pic:blipFill>
                          <a:blip r:embed="rId183"/>
                          <a:stretch>
                            <a:fillRect/>
                          </a:stretch>
                        </pic:blipFill>
                        <pic:spPr bwMode="auto">
                          <a:xfrm>
                            <a:off x="0" y="0"/>
                            <a:ext cx="5646420" cy="56167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86"/>
        </w:tc>
      </w:tr>
    </w:tbl>
    <w:tbl>
      <w:tblPr>
        <w:tblStyle w:val="Table"/>
        <w:tblW w:type="pct" w:w="5000"/>
        <w:tblLayout w:type="fixed"/>
        <w:tblLook w:firstRow="0" w:lastRow="0" w:firstColumn="0" w:lastColumn="0" w:noHBand="0" w:noVBand="0" w:val="0000"/>
      </w:tblPr>
      <w:tblGrid>
        <w:gridCol w:w="7920"/>
      </w:tblGrid>
      <w:tr>
        <w:tc>
          <w:tcPr/>
          <w:bookmarkStart w:id="190"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88" name="Picture"/>
                  <a:graphic>
                    <a:graphicData uri="http://schemas.openxmlformats.org/drawingml/2006/picture">
                      <pic:pic>
                        <pic:nvPicPr>
                          <pic:cNvPr descr="Chapter2/Figs/metricsTable.png" id="189" name="Picture"/>
                          <pic:cNvPicPr>
                            <a:picLocks noChangeArrowheads="1" noChangeAspect="1"/>
                          </pic:cNvPicPr>
                        </pic:nvPicPr>
                        <pic:blipFill>
                          <a:blip r:embed="rId187"/>
                          <a:stretch>
                            <a:fillRect/>
                          </a:stretch>
                        </pic:blipFill>
                        <pic:spPr bwMode="auto">
                          <a:xfrm>
                            <a:off x="0" y="0"/>
                            <a:ext cx="5646420" cy="1870321"/>
                          </a:xfrm>
                          <a:prstGeom prst="rect">
                            <a:avLst/>
                          </a:prstGeom>
                          <a:noFill/>
                          <a:ln w="9525">
                            <a:noFill/>
                            <a:headEnd/>
                            <a:tailEnd/>
                          </a:ln>
                        </pic:spPr>
                      </pic:pic>
                    </a:graphicData>
                  </a:graphic>
                </wp:inline>
              </w:drawing>
            </w:r>
          </w:p>
          <w:bookmarkEnd w:id="190"/>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94" w:name="fig-VIPFIG"/>
          <w:p>
            <w:pPr>
              <w:pStyle w:val="Compact"/>
              <w:jc w:val="center"/>
            </w:pPr>
            <w:r>
              <w:drawing>
                <wp:inline>
                  <wp:extent cx="5646420" cy="5571597"/>
                  <wp:effectExtent b="0" l="0" r="0" t="0"/>
                  <wp:docPr descr="" title="" id="192" name="Picture"/>
                  <a:graphic>
                    <a:graphicData uri="http://schemas.openxmlformats.org/drawingml/2006/picture">
                      <pic:pic>
                        <pic:nvPicPr>
                          <pic:cNvPr descr="Chapter2/Figs/Figure7_Bede.jpg" id="193" name="Picture"/>
                          <pic:cNvPicPr>
                            <a:picLocks noChangeArrowheads="1" noChangeAspect="1"/>
                          </pic:cNvPicPr>
                        </pic:nvPicPr>
                        <pic:blipFill>
                          <a:blip r:embed="rId191"/>
                          <a:stretch>
                            <a:fillRect/>
                          </a:stretch>
                        </pic:blipFill>
                        <pic:spPr bwMode="auto">
                          <a:xfrm>
                            <a:off x="0" y="0"/>
                            <a:ext cx="5646420" cy="55715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94"/>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98" w:name="fig-VIPFunction"/>
          <w:p>
            <w:pPr>
              <w:pStyle w:val="Compact"/>
              <w:jc w:val="center"/>
            </w:pPr>
            <w:r>
              <w:drawing>
                <wp:inline>
                  <wp:extent cx="5646420" cy="5595743"/>
                  <wp:effectExtent b="0" l="0" r="0" t="0"/>
                  <wp:docPr descr="" title="" id="196" name="Picture"/>
                  <a:graphic>
                    <a:graphicData uri="http://schemas.openxmlformats.org/drawingml/2006/picture">
                      <pic:pic>
                        <pic:nvPicPr>
                          <pic:cNvPr descr="Chapter2/Figs/Figure8_Bede.jpg" id="197" name="Picture"/>
                          <pic:cNvPicPr>
                            <a:picLocks noChangeArrowheads="1" noChangeAspect="1"/>
                          </pic:cNvPicPr>
                        </pic:nvPicPr>
                        <pic:blipFill>
                          <a:blip r:embed="rId195"/>
                          <a:stretch>
                            <a:fillRect/>
                          </a:stretch>
                        </pic:blipFill>
                        <pic:spPr bwMode="auto">
                          <a:xfrm>
                            <a:off x="0" y="0"/>
                            <a:ext cx="5646420" cy="55957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98"/>
        </w:tc>
      </w:tr>
    </w:tbl>
    <w:bookmarkEnd w:id="199"/>
    <w:bookmarkStart w:id="204"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203" w:name="fig-ConfMatFIG"/>
          <w:p>
            <w:pPr>
              <w:pStyle w:val="Compact"/>
              <w:jc w:val="center"/>
            </w:pPr>
            <w:r>
              <w:drawing>
                <wp:inline>
                  <wp:extent cx="5646420" cy="5627499"/>
                  <wp:effectExtent b="0" l="0" r="0" t="0"/>
                  <wp:docPr descr="" title="" id="201" name="Picture"/>
                  <a:graphic>
                    <a:graphicData uri="http://schemas.openxmlformats.org/drawingml/2006/picture">
                      <pic:pic>
                        <pic:nvPicPr>
                          <pic:cNvPr descr="Chapter2/Figs/Figure9_Bede.jpg" id="202" name="Picture"/>
                          <pic:cNvPicPr>
                            <a:picLocks noChangeArrowheads="1" noChangeAspect="1"/>
                          </pic:cNvPicPr>
                        </pic:nvPicPr>
                        <pic:blipFill>
                          <a:blip r:embed="rId200"/>
                          <a:stretch>
                            <a:fillRect/>
                          </a:stretch>
                        </pic:blipFill>
                        <pic:spPr bwMode="auto">
                          <a:xfrm>
                            <a:off x="0" y="0"/>
                            <a:ext cx="5646420" cy="5627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bookmarkEnd w:id="203"/>
        </w:tc>
      </w:tr>
    </w:tbl>
    <w:bookmarkEnd w:id="204"/>
    <w:bookmarkEnd w:id="205"/>
    <w:bookmarkStart w:id="215" w:name="discussion"/>
    <w:p>
      <w:pPr>
        <w:pStyle w:val="Heading2"/>
      </w:pPr>
      <w:r>
        <w:t xml:space="preserve">2.4 Discussion</w:t>
      </w:r>
    </w:p>
    <w:bookmarkStart w:id="206"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2022a;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RS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2022a)</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206"/>
    <w:bookmarkStart w:id="211"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Chlc 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Chlc,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2022a;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taxa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2022a;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210"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2502498"/>
                  <wp:effectExtent b="0" l="0" r="0" t="0"/>
                  <wp:docPr descr="" title="" id="208" name="Picture"/>
                  <a:graphic>
                    <a:graphicData uri="http://schemas.openxmlformats.org/drawingml/2006/picture">
                      <pic:pic>
                        <pic:nvPicPr>
                          <pic:cNvPr descr="Chapter2/Figs/pigmentTable.png" id="209" name="Picture"/>
                          <pic:cNvPicPr>
                            <a:picLocks noChangeArrowheads="1" noChangeAspect="1"/>
                          </pic:cNvPicPr>
                        </pic:nvPicPr>
                        <pic:blipFill>
                          <a:blip r:embed="rId207"/>
                          <a:stretch>
                            <a:fillRect/>
                          </a:stretch>
                        </pic:blipFill>
                        <pic:spPr bwMode="auto">
                          <a:xfrm>
                            <a:off x="0" y="0"/>
                            <a:ext cx="5646420" cy="2502498"/>
                          </a:xfrm>
                          <a:prstGeom prst="rect">
                            <a:avLst/>
                          </a:prstGeom>
                          <a:noFill/>
                          <a:ln w="9525">
                            <a:noFill/>
                            <a:headEnd/>
                            <a:tailEnd/>
                          </a:ln>
                        </pic:spPr>
                      </pic:pic>
                    </a:graphicData>
                  </a:graphic>
                </wp:inline>
              </w:drawing>
            </w:r>
          </w:p>
          <w:bookmarkEnd w:id="210"/>
        </w:tc>
      </w:tr>
    </w:tbl>
    <w:bookmarkEnd w:id="211"/>
    <w:bookmarkStart w:id="212"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212"/>
    <w:bookmarkStart w:id="213"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bookmarkEnd w:id="213"/>
    <w:bookmarkStart w:id="214"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214"/>
    <w:bookmarkEnd w:id="215"/>
    <w:bookmarkEnd w:id="216"/>
    <w:bookmarkStart w:id="309" w:name="X27e1cd8292c123eed0e7ee2bdbf2cbaf1b8c277"/>
    <w:p>
      <w:pPr>
        <w:pStyle w:val="Heading1"/>
      </w:pPr>
      <w:r>
        <w:t xml:space="preserve">3. Discriminating Seagrasses from Green Macroalgae in European Intertidal Areas Using High-Resolution Multispectral Drone Imagery</w:t>
      </w:r>
    </w:p>
    <w:bookmarkStart w:id="217" w:name="abstract-1"/>
    <w:p>
      <w:pPr>
        <w:pStyle w:val="Heading2"/>
      </w:pPr>
      <w:r>
        <w:t xml:space="preserve">Abstract</w:t>
      </w:r>
    </w:p>
    <w:p>
      <w:pPr>
        <w:pStyle w:val="FirstParagraph"/>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resolutions, making it difficult to discriminate seagrass from other macrophytes in highly heterogeneous meadows. Drone (unmanned aerial vehicle—UAV) images at a very high spatial resolution offer a promising solution to address challenges related to spatial heterogeneity and the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extremely high spatial resolution, the low altitude flights were used to train a Neural Network classifier to discriminate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467,000 m2. The model exhibited an accuracy of 96.4% in identifying seagrass. In particular, seagrass and green algae can be discriminated. The very high spatial resolution of the drone data made it possible to assess the influence of spatial resolution on the classification outputs, showing a limited loss in seagrass detection up to about 10 m. Altogether, our findings suggest that the MultiSpectral Instrument (MSI) onboard Sentinel-2 offers a relevant trade-off between its spatial and spectral resolution, thus offering promising perspectives for satellite remote sensing of intertidal biodiversity over larger scales.</w:t>
      </w:r>
    </w:p>
    <w:bookmarkEnd w:id="217"/>
    <w:bookmarkStart w:id="218"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EOVs such as seagrass composition</w:t>
      </w:r>
      <w:r>
        <w:t xml:space="preserve"> </w:t>
      </w:r>
      <w:r>
        <w:t xml:space="preserve">(Miloslavich et al., 2018)</w:t>
      </w:r>
      <w:r>
        <w:t xml:space="preserve">, as well as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2022a;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18"/>
    <w:bookmarkStart w:id="251" w:name="materials-methods"/>
    <w:p>
      <w:pPr>
        <w:pStyle w:val="Heading2"/>
      </w:pPr>
      <w:r>
        <w:t xml:space="preserve">3.2 Materials &amp; Methods</w:t>
      </w:r>
    </w:p>
    <w:bookmarkStart w:id="223"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w:t>
      </w:r>
    </w:p>
    <w:tbl>
      <w:tblPr>
        <w:tblStyle w:val="Table"/>
        <w:tblW w:type="pct" w:w="5000"/>
        <w:tblLayout w:type="fixed"/>
        <w:tblLook w:firstRow="0" w:lastRow="0" w:firstColumn="0" w:lastColumn="0" w:noHBand="0" w:noVBand="0" w:val="0000"/>
      </w:tblPr>
      <w:tblGrid>
        <w:gridCol w:w="7920"/>
      </w:tblGrid>
      <w:tr>
        <w:tc>
          <w:tcPr/>
          <w:bookmarkStart w:id="222" w:name="fig-map"/>
          <w:p>
            <w:pPr>
              <w:pStyle w:val="Compact"/>
              <w:jc w:val="center"/>
            </w:pPr>
            <w:r>
              <w:drawing>
                <wp:inline>
                  <wp:extent cx="5646420" cy="5646420"/>
                  <wp:effectExtent b="0" l="0" r="0" t="0"/>
                  <wp:docPr descr="" title="" id="220" name="Picture"/>
                  <a:graphic>
                    <a:graphicData uri="http://schemas.openxmlformats.org/drawingml/2006/picture">
                      <pic:pic>
                        <pic:nvPicPr>
                          <pic:cNvPr descr="Chapter3/Figs/Figure1.png" id="221" name="Picture"/>
                          <pic:cNvPicPr>
                            <a:picLocks noChangeArrowheads="1" noChangeAspect="1"/>
                          </pic:cNvPicPr>
                        </pic:nvPicPr>
                        <pic:blipFill>
                          <a:blip r:embed="rId219"/>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 the intertidal zone.</w:t>
            </w:r>
          </w:p>
          <w:bookmarkEnd w:id="222"/>
        </w:tc>
      </w:tr>
    </w:tbl>
    <w:p>
      <w:pPr>
        <w:pStyle w:val="BodyText"/>
      </w:pPr>
      <w:r>
        <w:t xml:space="preserve">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End w:id="223"/>
    <w:bookmarkStart w:id="234" w:name="field-sampling"/>
    <w:p>
      <w:pPr>
        <w:pStyle w:val="Heading3"/>
      </w:pPr>
      <w:r>
        <w:t xml:space="preserve">3.2.2 Field sampling</w:t>
      </w:r>
    </w:p>
    <w:bookmarkStart w:id="228"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27"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25" name="Picture"/>
                  <a:graphic>
                    <a:graphicData uri="http://schemas.openxmlformats.org/drawingml/2006/picture">
                      <pic:pic>
                        <pic:nvPicPr>
                          <pic:cNvPr descr="Chapter3/Figs/Table1.png" id="226" name="Picture"/>
                          <pic:cNvPicPr>
                            <a:picLocks noChangeArrowheads="1" noChangeAspect="1"/>
                          </pic:cNvPicPr>
                        </pic:nvPicPr>
                        <pic:blipFill>
                          <a:blip r:embed="rId224"/>
                          <a:stretch>
                            <a:fillRect/>
                          </a:stretch>
                        </pic:blipFill>
                        <pic:spPr bwMode="auto">
                          <a:xfrm>
                            <a:off x="0" y="0"/>
                            <a:ext cx="5646420" cy="2477358"/>
                          </a:xfrm>
                          <a:prstGeom prst="rect">
                            <a:avLst/>
                          </a:prstGeom>
                          <a:noFill/>
                          <a:ln w="9525">
                            <a:noFill/>
                            <a:headEnd/>
                            <a:tailEnd/>
                          </a:ln>
                        </pic:spPr>
                      </pic:pic>
                    </a:graphicData>
                  </a:graphic>
                </wp:inline>
              </w:drawing>
            </w:r>
          </w:p>
          <w:bookmarkEnd w:id="227"/>
        </w:tc>
      </w:tr>
    </w:tbl>
    <w:bookmarkEnd w:id="228"/>
    <w:bookmarkStart w:id="233"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32" w:name="fig-vegetation"/>
          <w:p>
            <w:pPr>
              <w:pStyle w:val="Compact"/>
              <w:jc w:val="center"/>
            </w:pPr>
            <w:r>
              <w:drawing>
                <wp:inline>
                  <wp:extent cx="5646420" cy="3952494"/>
                  <wp:effectExtent b="0" l="0" r="0" t="0"/>
                  <wp:docPr descr="" title="" id="230" name="Picture"/>
                  <a:graphic>
                    <a:graphicData uri="http://schemas.openxmlformats.org/drawingml/2006/picture">
                      <pic:pic>
                        <pic:nvPicPr>
                          <pic:cNvPr descr="Chapter3/Figs/Figure2.png" id="231" name="Picture"/>
                          <pic:cNvPicPr>
                            <a:picLocks noChangeArrowheads="1" noChangeAspect="1"/>
                          </pic:cNvPicPr>
                        </pic:nvPicPr>
                        <pic:blipFill>
                          <a:blip r:embed="rId229"/>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32"/>
        </w:tc>
      </w:tr>
    </w:tbl>
    <w:bookmarkEnd w:id="233"/>
    <w:bookmarkEnd w:id="234"/>
    <w:bookmarkStart w:id="235"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35"/>
    <w:bookmarkStart w:id="247"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9" w:name="fig-workflow"/>
          <w:p>
            <w:pPr>
              <w:pStyle w:val="Compact"/>
              <w:jc w:val="center"/>
            </w:pPr>
            <w:r>
              <w:drawing>
                <wp:inline>
                  <wp:extent cx="5646420" cy="5098189"/>
                  <wp:effectExtent b="0" l="0" r="0" t="0"/>
                  <wp:docPr descr="" title="" id="237" name="Picture"/>
                  <a:graphic>
                    <a:graphicData uri="http://schemas.openxmlformats.org/drawingml/2006/picture">
                      <pic:pic>
                        <pic:nvPicPr>
                          <pic:cNvPr descr="Chapter3/Figs/Figure3.png" id="238" name="Picture"/>
                          <pic:cNvPicPr>
                            <a:picLocks noChangeArrowheads="1" noChangeAspect="1"/>
                          </pic:cNvPicPr>
                        </pic:nvPicPr>
                        <pic:blipFill>
                          <a:blip r:embed="rId236"/>
                          <a:stretch>
                            <a:fillRect/>
                          </a:stretch>
                        </pic:blipFill>
                        <pic:spPr bwMode="auto">
                          <a:xfrm>
                            <a:off x="0" y="0"/>
                            <a:ext cx="5646420" cy="50981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39"/>
        </w:tc>
      </w:tr>
    </w:tbl>
    <w:bookmarkStart w:id="244"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43"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41" name="Picture"/>
                  <a:graphic>
                    <a:graphicData uri="http://schemas.openxmlformats.org/drawingml/2006/picture">
                      <pic:pic>
                        <pic:nvPicPr>
                          <pic:cNvPr descr="Chapter3/Figs/Table2.png" id="242" name="Picture"/>
                          <pic:cNvPicPr>
                            <a:picLocks noChangeArrowheads="1" noChangeAspect="1"/>
                          </pic:cNvPicPr>
                        </pic:nvPicPr>
                        <pic:blipFill>
                          <a:blip r:embed="rId240"/>
                          <a:stretch>
                            <a:fillRect/>
                          </a:stretch>
                        </pic:blipFill>
                        <pic:spPr bwMode="auto">
                          <a:xfrm>
                            <a:off x="0" y="0"/>
                            <a:ext cx="5646420" cy="2011714"/>
                          </a:xfrm>
                          <a:prstGeom prst="rect">
                            <a:avLst/>
                          </a:prstGeom>
                          <a:noFill/>
                          <a:ln w="9525">
                            <a:noFill/>
                            <a:headEnd/>
                            <a:tailEnd/>
                          </a:ln>
                        </pic:spPr>
                      </pic:pic>
                    </a:graphicData>
                  </a:graphic>
                </wp:inline>
              </w:drawing>
            </w:r>
          </w:p>
          <w:bookmarkEnd w:id="243"/>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w:t>
      </w:r>
      <w:r>
        <w:t xml:space="preserve"> </w:t>
      </w:r>
      <w:hyperlink w:anchor="eq-stdspectra">
        <w:r>
          <w:rPr>
            <w:rStyle w:val="Hyperlink"/>
          </w:rPr>
          <w:t xml:space="preserve">Equation 2.1</w:t>
        </w:r>
      </w:hyperlink>
      <w:r>
        <w:t xml:space="preserve"> </w:t>
      </w:r>
      <w:r>
        <w:t xml:space="preserve">and the Normalized difference vegetation index (NDVI,</w:t>
      </w:r>
      <w:r>
        <w:t xml:space="preserve"> </w:t>
      </w:r>
      <w:hyperlink w:anchor="eq-NDVI">
        <w:r>
          <w:rPr>
            <w:rStyle w:val="Hyperlink"/>
          </w:rPr>
          <w:t xml:space="preserve">Equation 1.2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2022a)</w:t>
      </w:r>
      <w:r>
        <w:t xml:space="preserve">.</w:t>
      </w:r>
    </w:p>
    <w:bookmarkEnd w:id="244"/>
    <w:bookmarkStart w:id="245"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Substrate Classification Of Vegetation.</w:t>
      </w:r>
    </w:p>
    <w:bookmarkEnd w:id="245"/>
    <w:bookmarkStart w:id="246"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46"/>
    <w:bookmarkEnd w:id="247"/>
    <w:bookmarkStart w:id="248"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48"/>
    <w:bookmarkStart w:id="249"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49"/>
    <w:bookmarkStart w:id="250"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bookmarkEnd w:id="250"/>
    <w:bookmarkEnd w:id="251"/>
    <w:bookmarkStart w:id="294" w:name="results-1"/>
    <w:p>
      <w:pPr>
        <w:pStyle w:val="Heading2"/>
      </w:pPr>
      <w:r>
        <w:t xml:space="preserve">3.3 Results</w:t>
      </w:r>
    </w:p>
    <w:bookmarkStart w:id="256"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5" w:name="fig-CompareRef"/>
          <w:p>
            <w:pPr>
              <w:pStyle w:val="Compact"/>
              <w:jc w:val="center"/>
            </w:pPr>
            <w:r>
              <w:drawing>
                <wp:inline>
                  <wp:extent cx="5646420" cy="2426196"/>
                  <wp:effectExtent b="0" l="0" r="0" t="0"/>
                  <wp:docPr descr="" title="" id="253" name="Picture"/>
                  <a:graphic>
                    <a:graphicData uri="http://schemas.openxmlformats.org/drawingml/2006/picture">
                      <pic:pic>
                        <pic:nvPicPr>
                          <pic:cNvPr descr="Chapter3/Figs/Figure4.png" id="254" name="Picture"/>
                          <pic:cNvPicPr>
                            <a:picLocks noChangeArrowheads="1" noChangeAspect="1"/>
                          </pic:cNvPicPr>
                        </pic:nvPicPr>
                        <pic:blipFill>
                          <a:blip r:embed="rId252"/>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Hyperlink"/>
                </w:rPr>
                <w:t xml:space="preserve">Equation 2.1</w:t>
              </w:r>
            </w:hyperlink>
            <w:r>
              <w:t xml:space="preserve">).</w:t>
            </w:r>
          </w:p>
          <w:bookmarkEnd w:id="255"/>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IR part of the spectrum. This difference was not present when the reflectance has been standardized (</w:t>
      </w:r>
      <w:hyperlink w:anchor="eq-stdspectra">
        <w:r>
          <w:rPr>
            <w:rStyle w:val="Hyperlink"/>
          </w:rPr>
          <w:t xml:space="preserve">Equation 2.1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56"/>
    <w:bookmarkStart w:id="273"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colours of this species could be observed: dark green (corresponding to healthy leaves) and brown (when leaves are senescent or have an altered pigment composition). Regardless of the variation of colour,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60" w:name="fig-GafLow"/>
          <w:p>
            <w:pPr>
              <w:pStyle w:val="Compact"/>
              <w:jc w:val="center"/>
            </w:pPr>
            <w:r>
              <w:drawing>
                <wp:inline>
                  <wp:extent cx="5646420" cy="10606787"/>
                  <wp:effectExtent b="0" l="0" r="0" t="0"/>
                  <wp:docPr descr="" title="" id="258" name="Picture"/>
                  <a:graphic>
                    <a:graphicData uri="http://schemas.openxmlformats.org/drawingml/2006/picture">
                      <pic:pic>
                        <pic:nvPicPr>
                          <pic:cNvPr descr="Chapter3/Figs/Figure5.png" id="259" name="Picture"/>
                          <pic:cNvPicPr>
                            <a:picLocks noChangeArrowheads="1" noChangeAspect="1"/>
                          </pic:cNvPicPr>
                        </pic:nvPicPr>
                        <pic:blipFill>
                          <a:blip r:embed="rId257"/>
                          <a:stretch>
                            <a:fillRect/>
                          </a:stretch>
                        </pic:blipFill>
                        <pic:spPr bwMode="auto">
                          <a:xfrm>
                            <a:off x="0" y="0"/>
                            <a:ext cx="5646420" cy="106067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 m Sentinel-2 pixel size.</w:t>
            </w:r>
          </w:p>
          <w:bookmarkEnd w:id="260"/>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64" w:name="fig-GafHigh"/>
          <w:p>
            <w:pPr>
              <w:pStyle w:val="Compact"/>
              <w:jc w:val="center"/>
            </w:pPr>
            <w:r>
              <w:drawing>
                <wp:inline>
                  <wp:extent cx="5646420" cy="4800778"/>
                  <wp:effectExtent b="0" l="0" r="0" t="0"/>
                  <wp:docPr descr="" title="" id="262" name="Picture"/>
                  <a:graphic>
                    <a:graphicData uri="http://schemas.openxmlformats.org/drawingml/2006/picture">
                      <pic:pic>
                        <pic:nvPicPr>
                          <pic:cNvPr descr="Chapter3/Figs/Figure6.png" id="263" name="Picture"/>
                          <pic:cNvPicPr>
                            <a:picLocks noChangeArrowheads="1" noChangeAspect="1"/>
                          </pic:cNvPicPr>
                        </pic:nvPicPr>
                        <pic:blipFill>
                          <a:blip r:embed="rId261"/>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 m Sentinel-2 pixel size.</w:t>
            </w:r>
          </w:p>
          <w:bookmarkEnd w:id="264"/>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68" w:name="fig-Boat"/>
          <w:p>
            <w:pPr>
              <w:pStyle w:val="Compact"/>
              <w:jc w:val="center"/>
            </w:pPr>
            <w:r>
              <w:drawing>
                <wp:inline>
                  <wp:extent cx="5646420" cy="7129639"/>
                  <wp:effectExtent b="0" l="0" r="0" t="0"/>
                  <wp:docPr descr="" title="" id="266" name="Picture"/>
                  <a:graphic>
                    <a:graphicData uri="http://schemas.openxmlformats.org/drawingml/2006/picture">
                      <pic:pic>
                        <pic:nvPicPr>
                          <pic:cNvPr descr="Chapter3/Figs/Figure7.png" id="267" name="Picture"/>
                          <pic:cNvPicPr>
                            <a:picLocks noChangeArrowheads="1" noChangeAspect="1"/>
                          </pic:cNvPicPr>
                        </pic:nvPicPr>
                        <pic:blipFill>
                          <a:blip r:embed="rId265"/>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bookmarkEnd w:id="268"/>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72" w:name="fig-Dike"/>
          <w:p>
            <w:pPr>
              <w:pStyle w:val="Compact"/>
              <w:jc w:val="center"/>
            </w:pPr>
            <w:r>
              <w:drawing>
                <wp:inline>
                  <wp:extent cx="5646420" cy="4714079"/>
                  <wp:effectExtent b="0" l="0" r="0" t="0"/>
                  <wp:docPr descr="" title="" id="270" name="Picture"/>
                  <a:graphic>
                    <a:graphicData uri="http://schemas.openxmlformats.org/drawingml/2006/picture">
                      <pic:pic>
                        <pic:nvPicPr>
                          <pic:cNvPr descr="Chapter3/Figs/Figure8.png" id="271" name="Picture"/>
                          <pic:cNvPicPr>
                            <a:picLocks noChangeArrowheads="1" noChangeAspect="1"/>
                          </pic:cNvPicPr>
                        </pic:nvPicPr>
                        <pic:blipFill>
                          <a:blip r:embed="rId269"/>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 m Sentinel-2 pixel size.</w:t>
            </w:r>
          </w:p>
          <w:bookmarkEnd w:id="272"/>
        </w:tc>
      </w:tr>
    </w:tbl>
    <w:bookmarkEnd w:id="273"/>
    <w:bookmarkStart w:id="278"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7" w:name="fig-Validation"/>
          <w:p>
            <w:pPr>
              <w:pStyle w:val="Compact"/>
              <w:jc w:val="center"/>
            </w:pPr>
            <w:r>
              <w:drawing>
                <wp:inline>
                  <wp:extent cx="5646420" cy="3781151"/>
                  <wp:effectExtent b="0" l="0" r="0" t="0"/>
                  <wp:docPr descr="" title="" id="275" name="Picture"/>
                  <a:graphic>
                    <a:graphicData uri="http://schemas.openxmlformats.org/drawingml/2006/picture">
                      <pic:pic>
                        <pic:nvPicPr>
                          <pic:cNvPr descr="Chapter3/Figs/Figure9.png" id="276" name="Picture"/>
                          <pic:cNvPicPr>
                            <a:picLocks noChangeArrowheads="1" noChangeAspect="1"/>
                          </pic:cNvPicPr>
                        </pic:nvPicPr>
                        <pic:blipFill>
                          <a:blip r:embed="rId274"/>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77"/>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78"/>
    <w:bookmarkStart w:id="283"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2" w:name="fig-VIP"/>
          <w:p>
            <w:pPr>
              <w:pStyle w:val="Compact"/>
              <w:jc w:val="center"/>
            </w:pPr>
            <w:r>
              <w:drawing>
                <wp:inline>
                  <wp:extent cx="5646420" cy="8794957"/>
                  <wp:effectExtent b="0" l="0" r="0" t="0"/>
                  <wp:docPr descr="" title="" id="280" name="Picture"/>
                  <a:graphic>
                    <a:graphicData uri="http://schemas.openxmlformats.org/drawingml/2006/picture">
                      <pic:pic>
                        <pic:nvPicPr>
                          <pic:cNvPr descr="Chapter3/Figs/Figure10.png" id="281" name="Picture"/>
                          <pic:cNvPicPr>
                            <a:picLocks noChangeArrowheads="1" noChangeAspect="1"/>
                          </pic:cNvPicPr>
                        </pic:nvPicPr>
                        <pic:blipFill>
                          <a:blip r:embed="rId279"/>
                          <a:stretch>
                            <a:fillRect/>
                          </a:stretch>
                        </pic:blipFill>
                        <pic:spPr bwMode="auto">
                          <a:xfrm>
                            <a:off x="0" y="0"/>
                            <a:ext cx="5646420" cy="87949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82"/>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83"/>
    <w:bookmarkStart w:id="288"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87" w:name="fig-pixelsize"/>
          <w:p>
            <w:pPr>
              <w:pStyle w:val="Compact"/>
              <w:jc w:val="center"/>
            </w:pPr>
            <w:r>
              <w:drawing>
                <wp:inline>
                  <wp:extent cx="5349240" cy="4312690"/>
                  <wp:effectExtent b="0" l="0" r="0" t="0"/>
                  <wp:docPr descr="" title="" id="285" name="Picture"/>
                  <a:graphic>
                    <a:graphicData uri="http://schemas.openxmlformats.org/drawingml/2006/picture">
                      <pic:pic>
                        <pic:nvPicPr>
                          <pic:cNvPr descr="Chapter3/Figs/Figure11.png" id="286" name="Picture"/>
                          <pic:cNvPicPr>
                            <a:picLocks noChangeArrowheads="1" noChangeAspect="1"/>
                          </pic:cNvPicPr>
                        </pic:nvPicPr>
                        <pic:blipFill>
                          <a:blip r:embed="rId284"/>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87"/>
        </w:tc>
      </w:tr>
    </w:tbl>
    <w:bookmarkEnd w:id="288"/>
    <w:bookmarkStart w:id="293"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2" w:name="fig-upscaling"/>
          <w:p>
            <w:pPr>
              <w:pStyle w:val="Compact"/>
              <w:jc w:val="center"/>
            </w:pPr>
            <w:r>
              <w:drawing>
                <wp:inline>
                  <wp:extent cx="5646420" cy="7578268"/>
                  <wp:effectExtent b="0" l="0" r="0" t="0"/>
                  <wp:docPr descr="" title="" id="290" name="Picture"/>
                  <a:graphic>
                    <a:graphicData uri="http://schemas.openxmlformats.org/drawingml/2006/picture">
                      <pic:pic>
                        <pic:nvPicPr>
                          <pic:cNvPr descr="Chapter3/Figs/Figure12.png" id="291" name="Picture"/>
                          <pic:cNvPicPr>
                            <a:picLocks noChangeArrowheads="1" noChangeAspect="1"/>
                          </pic:cNvPicPr>
                        </pic:nvPicPr>
                        <pic:blipFill>
                          <a:blip r:embed="rId289"/>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92"/>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bookmarkEnd w:id="293"/>
    <w:bookmarkEnd w:id="294"/>
    <w:bookmarkStart w:id="307" w:name="discussion-1"/>
    <w:p>
      <w:pPr>
        <w:pStyle w:val="Heading2"/>
      </w:pPr>
      <w:r>
        <w:t xml:space="preserve">3.4 Discussion</w:t>
      </w:r>
    </w:p>
    <w:bookmarkStart w:id="303"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Chla, Chlb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98" w:name="fig-Pigm"/>
          <w:p>
            <w:pPr>
              <w:pStyle w:val="Compact"/>
              <w:jc w:val="center"/>
            </w:pPr>
            <w:r>
              <w:drawing>
                <wp:inline>
                  <wp:extent cx="5943600" cy="2877014"/>
                  <wp:effectExtent b="0" l="0" r="0" t="0"/>
                  <wp:docPr descr="" title="" id="296" name="Picture"/>
                  <a:graphic>
                    <a:graphicData uri="http://schemas.openxmlformats.org/drawingml/2006/picture">
                      <pic:pic>
                        <pic:nvPicPr>
                          <pic:cNvPr descr="Chapter3/Figs/Figure13.png" id="297" name="Picture"/>
                          <pic:cNvPicPr>
                            <a:picLocks noChangeArrowheads="1" noChangeAspect="1"/>
                          </pic:cNvPicPr>
                        </pic:nvPicPr>
                        <pic:blipFill>
                          <a:blip r:embed="rId295"/>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2022a; Méléder et al., 2013; Ralph et al., 2002)</w:t>
            </w:r>
            <w:r>
              <w:t xml:space="preserve">.</w:t>
            </w:r>
          </w:p>
          <w:bookmarkEnd w:id="298"/>
        </w:tc>
      </w:tr>
    </w:tbl>
    <w:tbl>
      <w:tblPr>
        <w:tblStyle w:val="Table"/>
        <w:tblW w:type="pct" w:w="5000"/>
        <w:tblLayout w:type="fixed"/>
        <w:tblLook w:firstRow="0" w:lastRow="0" w:firstColumn="0" w:lastColumn="0" w:noHBand="0" w:noVBand="0" w:val="0000"/>
      </w:tblPr>
      <w:tblGrid>
        <w:gridCol w:w="7920"/>
      </w:tblGrid>
      <w:tr>
        <w:tc>
          <w:tcPr/>
          <w:bookmarkStart w:id="302" w:name="fig-ValidationGreen"/>
          <w:p>
            <w:pPr>
              <w:pStyle w:val="Compact"/>
              <w:jc w:val="center"/>
            </w:pPr>
            <w:r>
              <w:drawing>
                <wp:inline>
                  <wp:extent cx="2971800" cy="2121448"/>
                  <wp:effectExtent b="0" l="0" r="0" t="0"/>
                  <wp:docPr descr="" title="" id="300" name="Picture"/>
                  <a:graphic>
                    <a:graphicData uri="http://schemas.openxmlformats.org/drawingml/2006/picture">
                      <pic:pic>
                        <pic:nvPicPr>
                          <pic:cNvPr descr="Chapter3/Figs/Figure14.png" id="301" name="Picture"/>
                          <pic:cNvPicPr>
                            <a:picLocks noChangeArrowheads="1" noChangeAspect="1"/>
                          </pic:cNvPicPr>
                        </pic:nvPicPr>
                        <pic:blipFill>
                          <a:blip r:embed="rId299"/>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302"/>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IR part of the spectrum</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303"/>
    <w:bookmarkStart w:id="304"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Hyperlink"/>
          </w:rPr>
          <w:t xml:space="preserve">Figure 3.4</w:t>
        </w:r>
      </w:hyperlink>
      <w:r>
        <w:t xml:space="preserve">).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Hyperlink"/>
          </w:rPr>
          <w:t xml:space="preserve">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spectra">
        <w:r>
          <w:rPr>
            <w:rStyle w:val="Hyperlink"/>
          </w:rPr>
          <w:t xml:space="preserve">Equation 2.1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304"/>
    <w:bookmarkStart w:id="305"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bookmarkEnd w:id="305"/>
    <w:bookmarkStart w:id="306"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RS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w:t>
      </w:r>
      <w:r>
        <w:t xml:space="preserve"> </w:t>
      </w:r>
      <w:r>
        <w:t xml:space="preserve">(E. Papathanasopoulou et al., 2019)</w:t>
      </w:r>
      <w:r>
        <w:t xml:space="preserve">. The retrieval of EBVs and EOVs through satellite observations has been increasingly common, enabling comprehensive monitoring of entire ecosystems over extended time periods</w:t>
      </w:r>
      <w:r>
        <w:t xml:space="preserve"> </w:t>
      </w:r>
      <w:r>
        <w:t xml:space="preserve">(Ratnarajah et al., 2023; Zoffoli et al., 2021)</w:t>
      </w:r>
      <w:r>
        <w:t xml:space="preserve">. The WFD 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w:t>
      </w:r>
      <w:r>
        <w:t xml:space="preserve"> </w:t>
      </w:r>
      <w:r>
        <w:t xml:space="preserve">(Davies et al., 2024a)</w:t>
      </w:r>
      <w:r>
        <w:t xml:space="preserve">.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306"/>
    <w:bookmarkEnd w:id="307"/>
    <w:bookmarkStart w:id="308" w:name="conclusion"/>
    <w:p>
      <w:pPr>
        <w:pStyle w:val="Heading2"/>
      </w:pPr>
      <w:r>
        <w:t xml:space="preserve">3.5 Conclusion</w:t>
      </w:r>
    </w:p>
    <w:p>
      <w:pPr>
        <w:pStyle w:val="FirstParagraph"/>
      </w:pPr>
      <w:r>
        <w:t xml:space="preserve">The utilization of very high spatial resolution (from 8 to 80 mm) drone-based RS coupled with ML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bookmarkEnd w:id="308"/>
    <w:bookmarkEnd w:id="309"/>
    <w:bookmarkStart w:id="374" w:name="X164d849c9bcf417d717cc9990f4b1c331bc6028"/>
    <w:p>
      <w:pPr>
        <w:pStyle w:val="Heading1"/>
      </w:pPr>
      <w:r>
        <w:t xml:space="preserve">4. Spatial and Temporal distributions of the alien invasive</w:t>
      </w:r>
      <w:r>
        <w:t xml:space="preserve"> </w:t>
      </w:r>
      <w:r>
        <w:rPr>
          <w:i/>
          <w:iCs/>
        </w:rPr>
        <w:t xml:space="preserve">Gracilaria vermiculophylla</w:t>
      </w:r>
    </w:p>
    <w:bookmarkStart w:id="310" w:name="abstract-2"/>
    <w:p>
      <w:pPr>
        <w:pStyle w:val="Heading2"/>
      </w:pPr>
      <w:r>
        <w:t xml:space="preserve">Abstract</w:t>
      </w:r>
    </w:p>
    <w:p>
      <w:pPr>
        <w:pStyle w:val="FirstParagraph"/>
      </w:pPr>
      <w:r>
        <w:t xml:space="preserve">The invasive red macroalga</w:t>
      </w:r>
      <w:r>
        <w:t xml:space="preserve"> </w:t>
      </w:r>
      <w:r>
        <w:rPr>
          <w:i/>
          <w:iCs/>
        </w:rPr>
        <w:t xml:space="preserve">Gracilaria vermiculophylla</w:t>
      </w:r>
      <w:r>
        <w:t xml:space="preserve"> </w:t>
      </w:r>
      <w:r>
        <w:t xml:space="preserve">has significantly impacted intertidal ecosystems in temperate estuaries globally. This study utilized drone-based multispectral remote sensing to map the spatial and temporal distribution of</w:t>
      </w:r>
      <w:r>
        <w:t xml:space="preserve"> </w:t>
      </w:r>
      <w:r>
        <w:rPr>
          <w:i/>
          <w:iCs/>
        </w:rPr>
        <w:t xml:space="preserve">G. vermiculophylla</w:t>
      </w:r>
      <w:r>
        <w:t xml:space="preserve"> </w:t>
      </w:r>
      <w:r>
        <w:t xml:space="preserve">in its first documented European site, the Bélon Estuary, alongside additional sites in Spain and France. By adapting the neural network classification model DISCOV, trained with a comprehensive dataset, we achieved 91.1% accuracy in distinguishing</w:t>
      </w:r>
      <w:r>
        <w:t xml:space="preserve"> </w:t>
      </w:r>
      <w:r>
        <w:rPr>
          <w:i/>
          <w:iCs/>
        </w:rPr>
        <w:t xml:space="preserve">G. vermiculophylla</w:t>
      </w:r>
      <w:r>
        <w:t xml:space="preserve"> </w:t>
      </w:r>
      <w:r>
        <w:t xml:space="preserve">from other macroalgal taxa. Historical aerial imagery revealed a progressive expansion of</w:t>
      </w:r>
      <w:r>
        <w:t xml:space="preserve"> </w:t>
      </w:r>
      <w:r>
        <w:rPr>
          <w:i/>
          <w:iCs/>
        </w:rPr>
        <w:t xml:space="preserve">G. vermiculophylla</w:t>
      </w:r>
      <w:r>
        <w:t xml:space="preserve"> </w:t>
      </w:r>
      <w:r>
        <w:t xml:space="preserve">from its initial appearance in 1976, approximately 20 years before its first description in the literature, to extensive colonization by 2024. Concurrent LiDAR data enabled precise characterization of intertidal topography, demonstrating a strong association between algal cover, elevation, and slope. Dense mats were consistently observed in flat, elevated mudflat areas, with reduced presence in steeper or lower zones. These patterns highlight the species’ preference for stable sedimentary environments with reduced hydrodynamic forces. Temporal analyses also linked its spread to anthropogenic activities, notably aquaculture. Our findings emphasize the utility of high-resolution drone imaging for invasive species monitoring and habitat mapping, offering critical insights into the ecological dynamics of</w:t>
      </w:r>
      <w:r>
        <w:t xml:space="preserve"> </w:t>
      </w:r>
      <w:r>
        <w:rPr>
          <w:i/>
          <w:iCs/>
        </w:rPr>
        <w:t xml:space="preserve">G. vermiculophylla</w:t>
      </w:r>
      <w:r>
        <w:t xml:space="preserve"> </w:t>
      </w:r>
      <w:r>
        <w:t xml:space="preserve">and its drivers. This scalable method facilitates proactive management strategies by enabling early detection and detailed assessment of invasion patterns. The integration of remote sensing and in situ validation establishes a robust framework for ecological monitoring, contributing to the understanding of biological invasions and their environmental consequences. This approach can inform management interventions to mitigate the impacts of</w:t>
      </w:r>
      <w:r>
        <w:t xml:space="preserve"> </w:t>
      </w:r>
      <w:r>
        <w:rPr>
          <w:i/>
          <w:iCs/>
        </w:rPr>
        <w:t xml:space="preserve">G. vermiculophylla</w:t>
      </w:r>
      <w:r>
        <w:t xml:space="preserve"> </w:t>
      </w:r>
      <w:r>
        <w:t xml:space="preserve">and similar invasive species.</w:t>
      </w:r>
    </w:p>
    <w:bookmarkEnd w:id="310"/>
    <w:bookmarkStart w:id="311"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t xml:space="preserve">(Surget et al., 2017)</w:t>
      </w:r>
      <w:r>
        <w:t xml:space="preserve">. It is also present in confined areas of lagoons characterized by low hydrodynamism</w:t>
      </w:r>
      <w:r>
        <w:t xml:space="preserve"> </w:t>
      </w:r>
      <w:r>
        <w:t xml:space="preserve">(Abreu et al., 2011; Sfriso et al., 2012)</w:t>
      </w:r>
      <w:r>
        <w:t xml:space="preserve">. In Europe, it was first observed in 1996 in the Belon estuary (France) and later in many other estuaries on the Brittany coast of France</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RS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remote sensing makes it possible to acquire at extremely high spatial resolution (i.e. cm-scale), rapidly target specific areas of interest, and provide observations in overcast conditions. In particular, the potential of drone remote sensing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remote sensing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LIDAR data were concurrently acquired to map the intertidal elevation accurately. A Generalized Linear Mixed Effect Model (GLMM) was used to examine the relationship between the seaweed spatial distribution and spatial metrics quantifying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 series, starting from 1952, of RGB images was analysed to describe the temporal changes of its distribution over the last seventy years.</w:t>
      </w:r>
    </w:p>
    <w:bookmarkEnd w:id="311"/>
    <w:bookmarkStart w:id="334" w:name="materials-methods-1"/>
    <w:p>
      <w:pPr>
        <w:pStyle w:val="Heading2"/>
      </w:pPr>
      <w:r>
        <w:t xml:space="preserve">4.2 Materials &amp; Methods</w:t>
      </w:r>
    </w:p>
    <w:bookmarkStart w:id="316"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tbl>
      <w:tblPr>
        <w:tblStyle w:val="Table"/>
        <w:tblW w:type="pct" w:w="5000"/>
        <w:tblLayout w:type="fixed"/>
        <w:tblLook w:firstRow="0" w:lastRow="0" w:firstColumn="0" w:lastColumn="0" w:noHBand="0" w:noVBand="0" w:val="0000"/>
      </w:tblPr>
      <w:tblGrid>
        <w:gridCol w:w="7920"/>
      </w:tblGrid>
      <w:tr>
        <w:tc>
          <w:tcPr/>
          <w:bookmarkStart w:id="315" w:name="fig-location_sites_g"/>
          <w:p>
            <w:pPr>
              <w:pStyle w:val="Compact"/>
              <w:jc w:val="center"/>
            </w:pPr>
            <w:r>
              <w:drawing>
                <wp:inline>
                  <wp:extent cx="5646420" cy="5646420"/>
                  <wp:effectExtent b="0" l="0" r="0" t="0"/>
                  <wp:docPr descr="" title="" id="313" name="Picture"/>
                  <a:graphic>
                    <a:graphicData uri="http://schemas.openxmlformats.org/drawingml/2006/picture">
                      <pic:pic>
                        <pic:nvPicPr>
                          <pic:cNvPr descr="Chapter4/Figs/Map_site.png" id="314" name="Picture"/>
                          <pic:cNvPicPr>
                            <a:picLocks noChangeArrowheads="1" noChangeAspect="1"/>
                          </pic:cNvPicPr>
                        </pic:nvPicPr>
                        <pic:blipFill>
                          <a:blip r:embed="rId312"/>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Estuary, Spain. Golden polygons represent intertidal areas.</w:t>
            </w:r>
          </w:p>
          <w:bookmarkEnd w:id="315"/>
        </w:tc>
      </w:tr>
    </w:tbl>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End w:id="316"/>
    <w:bookmarkStart w:id="326"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20" w:name="fig-PictureFigure_G"/>
          <w:p>
            <w:pPr>
              <w:pStyle w:val="Compact"/>
              <w:jc w:val="center"/>
            </w:pPr>
            <w:r>
              <w:drawing>
                <wp:inline>
                  <wp:extent cx="5646420" cy="7910634"/>
                  <wp:effectExtent b="0" l="0" r="0" t="0"/>
                  <wp:docPr descr="" title="" id="318" name="Picture"/>
                  <a:graphic>
                    <a:graphicData uri="http://schemas.openxmlformats.org/drawingml/2006/picture">
                      <pic:pic>
                        <pic:nvPicPr>
                          <pic:cNvPr descr="Chapter4/Figs/FigurePictures.png" id="319" name="Picture"/>
                          <pic:cNvPicPr>
                            <a:picLocks noChangeArrowheads="1" noChangeAspect="1"/>
                          </pic:cNvPicPr>
                        </pic:nvPicPr>
                        <pic:blipFill>
                          <a:blip r:embed="rId317"/>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showing cylindrical branches; C: Landscape view of mudflats covered by monospecific mats of G. vermiculophylla; D: Recording of the spectral signature of the algae using an ASD FieldSpec HandHeld 2 spectroradiometer.</w:t>
            </w:r>
          </w:p>
          <w:bookmarkEnd w:id="320"/>
        </w:tc>
      </w:tr>
    </w:tbl>
    <w:bookmarkStart w:id="322"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21" w:name="eq-SecondDerivative"/>
      <m:oMathPara>
        <m:oMathParaPr>
          <m:jc m:val="center"/>
        </m:oMathParaPr>
        <m:oMath>
          <m:r>
            <m:t>R</m:t>
          </m:r>
          <m:r>
            <m:rPr>
              <m:sty m:val="p"/>
            </m:rPr>
            <m:t>″</m:t>
          </m:r>
          <m:d>
            <m:dPr>
              <m:begChr m:val="("/>
              <m:endChr m:val=")"/>
              <m:sepChr m:val=""/>
              <m:grow/>
            </m:dPr>
            <m:e>
              <m:sSub>
                <m:e>
                  <m:r>
                    <m:t>λ</m:t>
                  </m:r>
                </m:e>
                <m:sub>
                  <m:r>
                    <m:t>i</m:t>
                  </m:r>
                </m:sub>
              </m:sSub>
            </m:e>
          </m:d>
          <m:r>
            <m:rPr>
              <m:sty m:val="p"/>
            </m:rPr>
            <m:t>≈</m:t>
          </m:r>
          <m:f>
            <m:fPr>
              <m:type m:val="bar"/>
            </m:fPr>
            <m:num>
              <m:r>
                <m:t>R</m:t>
              </m:r>
              <m:d>
                <m:dPr>
                  <m:begChr m:val="("/>
                  <m:endChr m:val=")"/>
                  <m:sepChr m:val=""/>
                  <m:grow/>
                </m:dPr>
                <m:e>
                  <m:sSub>
                    <m:e>
                      <m:r>
                        <m:t>λ</m:t>
                      </m:r>
                    </m:e>
                    <m:sub>
                      <m:r>
                        <m:t>i</m:t>
                      </m:r>
                      <m:r>
                        <m:rPr>
                          <m:sty m:val="p"/>
                        </m:rPr>
                        <m:t>+</m:t>
                      </m:r>
                      <m:r>
                        <m:t>1</m:t>
                      </m:r>
                    </m:sub>
                  </m:sSub>
                </m:e>
              </m:d>
              <m:r>
                <m:rPr>
                  <m:sty m:val="p"/>
                </m:rPr>
                <m:t>−</m:t>
              </m:r>
              <m:r>
                <m:t>2</m:t>
              </m:r>
              <m:r>
                <m:t>R</m:t>
              </m:r>
              <m:d>
                <m:dPr>
                  <m:begChr m:val="("/>
                  <m:endChr m:val=")"/>
                  <m:sepChr m:val=""/>
                  <m:grow/>
                </m:dPr>
                <m:e>
                  <m:sSub>
                    <m:e>
                      <m:r>
                        <m:t>λ</m:t>
                      </m:r>
                    </m:e>
                    <m:sub>
                      <m:r>
                        <m:t>i</m:t>
                      </m:r>
                    </m:sub>
                  </m:sSub>
                </m:e>
              </m:d>
              <m:r>
                <m:rPr>
                  <m:sty m:val="p"/>
                </m:rPr>
                <m:t>+</m:t>
              </m:r>
              <m:r>
                <m:t>R</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321"/>
    </w:p>
    <w:p>
      <w:pPr>
        <w:pStyle w:val="FirstParagraph"/>
      </w:pPr>
      <w:r>
        <w:t xml:space="preserve">where</w:t>
      </w:r>
      <w:r>
        <w:t xml:space="preserve"> </w:t>
      </w:r>
      <m:oMath>
        <m:r>
          <m:t>R</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22"/>
    <w:bookmarkStart w:id="325"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23"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23"/>
    <w:bookmarkStart w:id="324"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24"/>
    <w:bookmarkEnd w:id="325"/>
    <w:bookmarkEnd w:id="326"/>
    <w:bookmarkStart w:id="331"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w:t>
      </w:r>
      <w:r>
        <w:t xml:space="preserve">), previously applied with success to Micasense reflectance data for mapping intertidal vegetation along the Portuguese and French Atlantic coasts, has been used in this study. The training dataset of DISCOV v1.0 was updated (</w:t>
      </w:r>
      <w:hyperlink w:anchor="fig-Workflow_g">
        <w:r>
          <w:rPr>
            <w:rStyle w:val="Hyperlink"/>
          </w:rPr>
          <w:t xml:space="preserve">Figure 4.3</w:t>
        </w:r>
      </w:hyperlink>
      <w:r>
        <w:t xml:space="preserve">). As shown by</w:t>
      </w:r>
      <w:r>
        <w:t xml:space="preserve"> </w:t>
      </w:r>
      <w:r>
        <w:t xml:space="preserve">Oiry et al. (2024)</w:t>
      </w:r>
      <w:r>
        <w:t xml:space="preserve"> </w:t>
      </w:r>
      <w:r>
        <w:t xml:space="preserve">the DISCOV v1.0 model was trained using only 5771 Rhodophyceae pixel (3% of the training dataset). To fill this, gap the original training dataset of DISCOV v1.0 was updated using new training pixel coming from the 5 drone flights (</w:t>
      </w:r>
      <w:hyperlink w:anchor="sec-DroneFlights">
        <w:r>
          <w:rPr>
            <w:rStyle w:val="Hyperlink"/>
          </w:rPr>
          <w:t xml:space="preserve">Section 4.2.2</w:t>
        </w:r>
      </w:hyperlink>
      <w:r>
        <w:t xml:space="preserve">). A total of 472.000 pixels were added to the DISCOV training dataset from version 1 (</w:t>
      </w:r>
      <w:hyperlink w:anchor="sec-AnnexeA">
        <w:r>
          <w:rPr>
            <w:rStyle w:val="Hyperlink"/>
          </w:rPr>
          <w:t xml:space="preserve">Section 4.6.1</w:t>
        </w:r>
      </w:hyperlink>
      <w:r>
        <w:t xml:space="preserve">).</w:t>
      </w:r>
    </w:p>
    <w:p>
      <w:pPr>
        <w:pStyle w:val="BodyText"/>
      </w:pPr>
      <w:r>
        <w:t xml:space="preserve">To validate the DISCOV model, a user-friendly Shiny app was developed. This app enabled independent users to photo-interpret snapshots of the ortho-mosaic from each drone flight</w:t>
      </w:r>
      <w:r>
        <w:t xml:space="preserve"> </w:t>
      </w:r>
      <w:r>
        <w:t xml:space="preserve">(Chang et al., 2024; Oiry, 2024)</w:t>
      </w:r>
      <w:r>
        <w:t xml:space="preserve">. Users could click on various parts of the snapshots to indicate the type of vegetation they believed was present. Using this method, three independent users contributed to creating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two classes: The presence or absence of Red Algae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0" w:name="fig-Workflow_g"/>
          <w:p>
            <w:pPr>
              <w:pStyle w:val="Compact"/>
              <w:jc w:val="center"/>
            </w:pPr>
            <w:r>
              <w:drawing>
                <wp:inline>
                  <wp:extent cx="5646420" cy="4298400"/>
                  <wp:effectExtent b="0" l="0" r="0" t="0"/>
                  <wp:docPr descr="" title="" id="328" name="Picture"/>
                  <a:graphic>
                    <a:graphicData uri="http://schemas.openxmlformats.org/drawingml/2006/picture">
                      <pic:pic>
                        <pic:nvPicPr>
                          <pic:cNvPr descr="Chapter4/Figs/Flowchart_gracillaria.png" id="329" name="Picture"/>
                          <pic:cNvPicPr>
                            <a:picLocks noChangeArrowheads="1" noChangeAspect="1"/>
                          </pic:cNvPicPr>
                        </pic:nvPicPr>
                        <pic:blipFill>
                          <a:blip r:embed="rId327"/>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30"/>
        </w:tc>
      </w:tr>
    </w:tbl>
    <w:bookmarkEnd w:id="331"/>
    <w:bookmarkStart w:id="332" w:name="X2b27cb08fa41aa444213c3f7bdaf37654504577"/>
    <w:p>
      <w:pPr>
        <w:pStyle w:val="Heading3"/>
      </w:pPr>
      <w:r>
        <w:t xml:space="preserve">4.2.4 Historical Presence of</w:t>
      </w:r>
      <w:r>
        <w:t xml:space="preserve"> </w:t>
      </w:r>
      <w:r>
        <w:rPr>
          <w:i/>
          <w:iCs/>
        </w:rPr>
        <w:t xml:space="preserve">Gracilaria vermiculophylla</w:t>
      </w:r>
      <w:r>
        <w:t xml:space="preserve"> </w:t>
      </w:r>
      <w:r>
        <w:t xml:space="preserve">in the Belon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Since most of the images retrieved from</w:t>
      </w:r>
      <w:r>
        <w:t xml:space="preserve"> </w:t>
      </w:r>
      <w:r>
        <w:t xml:space="preserve">“Remonter Le Temps”</w:t>
      </w:r>
      <w:r>
        <w:t xml:space="preserve"> </w:t>
      </w:r>
      <w:r>
        <w:t xml:space="preserve">were digitized versions of physical photographs, georeferencing was required.</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32"/>
    <w:bookmarkStart w:id="333" w:name="statistical-analysis-1"/>
    <w:p>
      <w:pPr>
        <w:pStyle w:val="Heading3"/>
      </w:pPr>
      <w:r>
        <w:t xml:space="preserve">4.2.5 Statistical analysis</w:t>
      </w:r>
    </w:p>
    <w:p>
      <w:pPr>
        <w:pStyle w:val="FirstParagraph"/>
      </w:pPr>
      <w:r>
        <w:t xml:space="preserve">We used a Generalized Linear Mixed Model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modeled using a Beta distribution as a function of bathymetry elevation and the slope of the mudflat (categorized as Flat, Angled, Steep). A random intercept for site was included to account for potential hierarchical variation among sampling sites. The Beta distribution was chosen because the response variable is continuous and constrained between 0 and 1. We visually assessed sample vs. fitted residuals and quartile–quartile (Q-Q) plots to ensure that the model assumptions, including appropriate model fit and absence of patterns in residuals, were satisfied.</w:t>
      </w:r>
    </w:p>
    <w:bookmarkEnd w:id="333"/>
    <w:bookmarkEnd w:id="334"/>
    <w:bookmarkStart w:id="358" w:name="results-2"/>
    <w:p>
      <w:pPr>
        <w:pStyle w:val="Heading2"/>
      </w:pPr>
      <w:r>
        <w:t xml:space="preserve">4.3 Results</w:t>
      </w:r>
    </w:p>
    <w:bookmarkStart w:id="343"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In the 70s some darkening of the sediment became discerbible, but the first unambiguous presence of</w:t>
      </w:r>
      <w:r>
        <w:t xml:space="preserve"> </w:t>
      </w:r>
      <w:r>
        <w:rPr>
          <w:i/>
          <w:iCs/>
        </w:rPr>
        <w:t xml:space="preserve">G. vermiculophylla</w:t>
      </w:r>
      <w:r>
        <w:t xml:space="preserve"> </w:t>
      </w:r>
      <w:r>
        <w:t xml:space="preserve">was 1982. During the subsequent decades, the cover of algae increased and in 2024, the high-resolution mapping done with the drone showed that monospecific mats of</w:t>
      </w:r>
      <w:r>
        <w:t xml:space="preserve"> </w:t>
      </w:r>
      <w:r>
        <w:rPr>
          <w:i/>
          <w:iCs/>
        </w:rPr>
        <w:t xml:space="preserve">G. vermiculophylla</w:t>
      </w:r>
      <w:r>
        <w:t xml:space="preserve"> </w:t>
      </w:r>
      <w:r>
        <w:t xml:space="preserve">exclusively colonised the mudflat.</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w:t>
      </w:r>
      <w:r>
        <w:t xml:space="preserve"> </w:t>
      </w:r>
      <w:hyperlink w:anchor="fig-HistoricalPlot_g">
        <w:r>
          <w:rPr>
            <w:rStyle w:val="Hyperlink"/>
          </w:rPr>
          <w:t xml:space="preserve">Figure 4.5</w:t>
        </w:r>
      </w:hyperlink>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38" w:name="fig-HistoricalMap_g"/>
          <w:p>
            <w:pPr>
              <w:pStyle w:val="Compact"/>
              <w:jc w:val="center"/>
            </w:pPr>
            <w:r>
              <w:drawing>
                <wp:inline>
                  <wp:extent cx="5646420" cy="2552181"/>
                  <wp:effectExtent b="0" l="0" r="0" t="0"/>
                  <wp:docPr descr="" title="" id="336" name="Picture"/>
                  <a:graphic>
                    <a:graphicData uri="http://schemas.openxmlformats.org/drawingml/2006/picture">
                      <pic:pic>
                        <pic:nvPicPr>
                          <pic:cNvPr descr="Chapter4/Figs/Historical_maps.png" id="337" name="Picture"/>
                          <pic:cNvPicPr>
                            <a:picLocks noChangeArrowheads="1" noChangeAspect="1"/>
                          </pic:cNvPicPr>
                        </pic:nvPicPr>
                        <pic:blipFill>
                          <a:blip r:embed="rId335"/>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38"/>
        </w:tc>
      </w:tr>
    </w:tbl>
    <w:tbl>
      <w:tblPr>
        <w:tblStyle w:val="Table"/>
        <w:tblW w:type="pct" w:w="5000"/>
        <w:tblLayout w:type="fixed"/>
        <w:tblLook w:firstRow="0" w:lastRow="0" w:firstColumn="0" w:lastColumn="0" w:noHBand="0" w:noVBand="0" w:val="0000"/>
      </w:tblPr>
      <w:tblGrid>
        <w:gridCol w:w="7920"/>
      </w:tblGrid>
      <w:tr>
        <w:tc>
          <w:tcPr/>
          <w:bookmarkStart w:id="342" w:name="fig-HistoricalPlot_g"/>
          <w:p>
            <w:pPr>
              <w:pStyle w:val="Compact"/>
              <w:jc w:val="center"/>
            </w:pPr>
            <w:r>
              <w:drawing>
                <wp:inline>
                  <wp:extent cx="5646420" cy="3387852"/>
                  <wp:effectExtent b="0" l="0" r="0" t="0"/>
                  <wp:docPr descr="" title="" id="340" name="Picture"/>
                  <a:graphic>
                    <a:graphicData uri="http://schemas.openxmlformats.org/drawingml/2006/picture">
                      <pic:pic>
                        <pic:nvPicPr>
                          <pic:cNvPr descr="Chapter4/Figs/Cover_Gracillaria_vs_Time.png" id="341" name="Picture"/>
                          <pic:cNvPicPr>
                            <a:picLocks noChangeArrowheads="1" noChangeAspect="1"/>
                          </pic:cNvPicPr>
                        </pic:nvPicPr>
                        <pic:blipFill>
                          <a:blip r:embed="rId339"/>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w:t>
            </w:r>
            <w:r>
              <w:t xml:space="preserve"> </w:t>
            </w:r>
            <w:r>
              <w:rPr>
                <w:i/>
                <w:iCs/>
              </w:rPr>
              <w:t xml:space="preserve">Gracilaria vermiculophylla</w:t>
            </w:r>
            <w:r>
              <w:t xml:space="preserve"> </w:t>
            </w:r>
            <w:r>
              <w:t xml:space="preserve">cover in the Belon Estuary (at Pont du Guilly). The red vertical line indicates the date of</w:t>
            </w:r>
            <w:r>
              <w:t xml:space="preserve"> </w:t>
            </w:r>
            <w:r>
              <w:rPr>
                <w:i/>
                <w:iCs/>
              </w:rPr>
              <w:t xml:space="preserve">Crassostrea gigas</w:t>
            </w:r>
            <w:r>
              <w:t xml:space="preserve"> </w:t>
            </w:r>
            <w:r>
              <w:t xml:space="preserve">introduction in South Brittany</w:t>
            </w:r>
            <w:r>
              <w:t xml:space="preserve"> </w:t>
            </w:r>
            <w:r>
              <w:t xml:space="preserve">(Grizel and Heral, 1991)</w:t>
            </w:r>
            <w:r>
              <w:t xml:space="preserve">, while the golden line represents the date of the first documented mention of</w:t>
            </w:r>
            <w:r>
              <w:t xml:space="preserve"> </w:t>
            </w:r>
            <w:r>
              <w:rPr>
                <w:i/>
                <w:iCs/>
              </w:rPr>
              <w:t xml:space="preserve">Gracilaria vermiculophylla</w:t>
            </w:r>
            <w:r>
              <w:t xml:space="preserve"> </w:t>
            </w:r>
            <w:r>
              <w:t xml:space="preserve">presence in Europe which was in the Belon Esturay</w:t>
            </w:r>
            <w:r>
              <w:t xml:space="preserve"> </w:t>
            </w:r>
            <w:r>
              <w:t xml:space="preserve">(Rueness, 2005)</w:t>
            </w:r>
            <w:r>
              <w:t xml:space="preserve">.</w:t>
            </w:r>
          </w:p>
          <w:bookmarkEnd w:id="342"/>
        </w:tc>
      </w:tr>
    </w:tbl>
    <w:bookmarkEnd w:id="343"/>
    <w:bookmarkStart w:id="348"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accessory carotenoid pigments. The most pronounced absorption peak occurred at 675 nm, corresponding to chlorophyll-a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47" w:name="fig-SpecDescri"/>
          <w:p>
            <w:pPr>
              <w:pStyle w:val="Compact"/>
              <w:jc w:val="center"/>
            </w:pPr>
            <w:r>
              <w:drawing>
                <wp:inline>
                  <wp:extent cx="5349240" cy="9430153"/>
                  <wp:effectExtent b="0" l="0" r="0" t="0"/>
                  <wp:docPr descr="" title="" id="345" name="Picture"/>
                  <a:graphic>
                    <a:graphicData uri="http://schemas.openxmlformats.org/drawingml/2006/picture">
                      <pic:pic>
                        <pic:nvPicPr>
                          <pic:cNvPr descr="Chapter4/Figs/plot_spectral_signature.png" id="346" name="Picture"/>
                          <pic:cNvPicPr>
                            <a:picLocks noChangeArrowheads="1" noChangeAspect="1"/>
                          </pic:cNvPicPr>
                        </pic:nvPicPr>
                        <pic:blipFill>
                          <a:blip r:embed="rId344"/>
                          <a:stretch>
                            <a:fillRect/>
                          </a:stretch>
                        </pic:blipFill>
                        <pic:spPr bwMode="auto">
                          <a:xfrm>
                            <a:off x="0" y="0"/>
                            <a:ext cx="5349240" cy="94301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47"/>
        </w:tc>
      </w:tr>
    </w:tbl>
    <w:bookmarkEnd w:id="348"/>
    <w:bookmarkStart w:id="357"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the class of Rhodophyceae (red macroalgae, in red) was the dominant algal cover, forming extensive, continous patches colonizing almost the entire mudflat. In contrast, Bacillariophyceae (diatoms biofilm, in orange) and Chlorophyceae (Green macroalgae, in green) exhibited more localized distributions, typically restricted to smaller, fragmented patches. A few Phaeophyceae (brown macroalgae, in brown) were confined to limited patches in the upper intertidal attached to rocks.</w:t>
      </w:r>
      <w:r>
        <w:t xml:space="preserve"> </w:t>
      </w:r>
      <w:r>
        <w:t xml:space="preserve">In the Saja esturay, Rhodophyceae cover was more scarsed,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between 1 and 2 m above mean sea level (</w:t>
      </w:r>
      <w:hyperlink w:anchor="fig-Belon">
        <w:r>
          <w:rPr>
            <w:rStyle w:val="Hyperlink"/>
          </w:rPr>
          <w:t xml:space="preserve">Figure 4.7</w:t>
        </w:r>
      </w:hyperlink>
      <w:r>
        <w:t xml:space="preserve"> </w:t>
      </w:r>
      <w:r>
        <w:t xml:space="preserve">C). Algal presence was markedly elevation-driven, with lower intertidal zones closer to the tidal channel consistently exibiting reduced macroalgal cover.</w:t>
      </w:r>
      <w:r>
        <w:t xml:space="preserve"> </w:t>
      </w:r>
      <w:r>
        <w:t xml:space="preserve">Most of the intertidal flats exibited slope below 10° (Violet, (</w:t>
      </w:r>
      <w:hyperlink w:anchor="fig-Belon">
        <w:r>
          <w:rPr>
            <w:rStyle w:val="Hyperlink"/>
          </w:rPr>
          <w:t xml:space="preserve">Figure 4.7</w:t>
        </w:r>
      </w:hyperlink>
      <w:r>
        <w:t xml:space="preserve"> </w:t>
      </w:r>
      <w:r>
        <w:t xml:space="preserve">D). Angled surfaces (10° &lt; Slope &lt; 40°) often found next to tidal channels were exibiting almost no vegetation cover.</w:t>
      </w:r>
    </w:p>
    <w:tbl>
      <w:tblPr>
        <w:tblStyle w:val="Table"/>
        <w:tblW w:type="pct" w:w="5000"/>
        <w:tblLayout w:type="fixed"/>
        <w:tblLook w:firstRow="0" w:lastRow="0" w:firstColumn="0" w:lastColumn="0" w:noHBand="0" w:noVBand="0" w:val="0000"/>
      </w:tblPr>
      <w:tblGrid>
        <w:gridCol w:w="7920"/>
      </w:tblGrid>
      <w:tr>
        <w:tc>
          <w:tcPr/>
          <w:bookmarkStart w:id="352" w:name="fig-Belon"/>
          <w:p>
            <w:pPr>
              <w:pStyle w:val="Compact"/>
              <w:jc w:val="center"/>
            </w:pPr>
            <w:r>
              <w:drawing>
                <wp:inline>
                  <wp:extent cx="4754880" cy="8441508"/>
                  <wp:effectExtent b="0" l="0" r="0" t="0"/>
                  <wp:docPr descr="" title="" id="350" name="Picture"/>
                  <a:graphic>
                    <a:graphicData uri="http://schemas.openxmlformats.org/drawingml/2006/picture">
                      <pic:pic>
                        <pic:nvPicPr>
                          <pic:cNvPr descr="Chapter4/Figs/Belon_maps.png" id="351" name="Picture"/>
                          <pic:cNvPicPr>
                            <a:picLocks noChangeArrowheads="1" noChangeAspect="1"/>
                          </pic:cNvPicPr>
                        </pic:nvPicPr>
                        <pic:blipFill>
                          <a:blip r:embed="rId349"/>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bookmarkEnd w:id="352"/>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slope, the flatter the slope, the higher the percent cover of</w:t>
      </w:r>
      <w:r>
        <w:t xml:space="preserve"> </w:t>
      </w:r>
      <w:r>
        <w:rPr>
          <w:i/>
          <w:iCs/>
        </w:rPr>
        <w:t xml:space="preserve">G. vermiculophylla</w:t>
      </w:r>
      <w:r>
        <w:t xml:space="preserve">. For flat slopes, the cover ranged from approximately 20% at the lowest elevation to nearly 38% at the highest elevation. In contrast, the increase was less pronounced for angled slopes, ranging from around 16% to 32%. The cover was the lowest on steep slopes, starting at about 15% and rising only slightly above 30% at the highest elevation (</w:t>
      </w:r>
      <w:hyperlink w:anchor="fig-Gam_Slope">
        <w:r>
          <w:rPr>
            <w:rStyle w:val="Hyperlink"/>
          </w:rPr>
          <w:t xml:space="preserve">Figure 4.8</w:t>
        </w:r>
      </w:hyperlink>
      <w:r>
        <w:t xml:space="preserve">). This demonstrates that slope modifies the relationship, with flatter slopes supporting a greater percent cover of the algae.</w:t>
      </w:r>
    </w:p>
    <w:tbl>
      <w:tblPr>
        <w:tblStyle w:val="Table"/>
        <w:tblW w:type="pct" w:w="5000"/>
        <w:tblLayout w:type="fixed"/>
        <w:tblLook w:firstRow="0" w:lastRow="0" w:firstColumn="0" w:lastColumn="0" w:noHBand="0" w:noVBand="0" w:val="0000"/>
      </w:tblPr>
      <w:tblGrid>
        <w:gridCol w:w="7920"/>
      </w:tblGrid>
      <w:tr>
        <w:tc>
          <w:tcPr/>
          <w:bookmarkStart w:id="356" w:name="fig-Gam_Slope"/>
          <w:p>
            <w:pPr>
              <w:pStyle w:val="Compact"/>
              <w:jc w:val="center"/>
            </w:pPr>
            <w:r>
              <w:drawing>
                <wp:inline>
                  <wp:extent cx="5646420" cy="2823210"/>
                  <wp:effectExtent b="0" l="0" r="0" t="0"/>
                  <wp:docPr descr="" title="" id="354" name="Picture"/>
                  <a:graphic>
                    <a:graphicData uri="http://schemas.openxmlformats.org/drawingml/2006/picture">
                      <pic:pic>
                        <pic:nvPicPr>
                          <pic:cNvPr descr="Chapter4/Figs/GAM_slope_cover.png" id="355" name="Picture"/>
                          <pic:cNvPicPr>
                            <a:picLocks noChangeArrowheads="1" noChangeAspect="1"/>
                          </pic:cNvPicPr>
                        </pic:nvPicPr>
                        <pic:blipFill>
                          <a:blip r:embed="rId35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Relation between the elevation (in meters) and the percentage cover of Gracilaria vermiculophylla across three slope categories: Flat, Angled, and Steep. Solid lines represent fitted generalized linear model predictions, with dashed lines indicating 89% confidence intervals. The solid black line represents the mean predicted coverage across all slope categories.</w:t>
            </w:r>
          </w:p>
          <w:bookmarkEnd w:id="356"/>
        </w:tc>
      </w:tr>
    </w:tbl>
    <w:bookmarkEnd w:id="357"/>
    <w:bookmarkEnd w:id="358"/>
    <w:bookmarkStart w:id="362" w:name="discussion-2"/>
    <w:p>
      <w:pPr>
        <w:pStyle w:val="Heading2"/>
      </w:pPr>
      <w:r>
        <w:t xml:space="preserve">4.4 Discussion</w:t>
      </w:r>
    </w:p>
    <w:bookmarkStart w:id="359" w:name="X9899dd51718767ce9f177be8709ff2a8e61d596"/>
    <w:p>
      <w:pPr>
        <w:pStyle w:val="Heading3"/>
      </w:pPr>
      <w:r>
        <w:t xml:space="preserve">4.4.1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macroalgae</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The species formed monospecific mats in southern Brittany, while in the Cantabrian region of Spain, it was mixed with other intertidal vegetation. Distinguishing among these vegetation types was a key prerequisite for the analysis. To achieve this, we developed a new version of the deep learning-based classification model DISCOV initially developed to discriminate seagrass from green macrophytes (DISCOV ;</w:t>
      </w:r>
      <w:r>
        <w:t xml:space="preserve"> </w:t>
      </w:r>
      <w:r>
        <w:t xml:space="preserve">Oiry et al. (2024)</w:t>
      </w:r>
      <w:r>
        <w:t xml:space="preserve">). DISCOV v2.0 was based on an improved training dataset, which included a larger number of pixels on red macroalgae covering approximately 26 % of one million pixels and allowed the model to achieve an accuracy of 91.1 % in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2022b;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2023a; Oiry et al., 2024; Román et al., 2021)</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the species level using standard multispectral, hyperspectral data may allow mapping on a finer taxonomic resolution</w:t>
      </w:r>
      <w:r>
        <w:t xml:space="preserve"> </w:t>
      </w:r>
      <w:r>
        <w:t xml:space="preserve">(Douay et al., 2022b; Olmedo-Masat et al., 2020)</w:t>
      </w:r>
      <w:r>
        <w:t xml:space="preserve">. Ecological factors also contribute to distinguishing</w:t>
      </w:r>
      <w:r>
        <w:t xml:space="preserve"> </w:t>
      </w:r>
      <w:r>
        <w:rPr>
          <w:i/>
          <w:iCs/>
        </w:rPr>
        <w:t xml:space="preserve">G. vermiculophylla</w:t>
      </w:r>
      <w:r>
        <w:t xml:space="preserve">. Macroalgae require hard substrates for the spores to settle, but some Gracilariales species can establish on soft-bottom sediments.</w:t>
      </w:r>
      <w:r>
        <w:t xml:space="preserve"> </w:t>
      </w:r>
      <w:r>
        <w:rPr>
          <w:i/>
          <w:iCs/>
        </w:rPr>
        <w:t xml:space="preserve">G. vermiculophylla</w:t>
      </w:r>
      <w:r>
        <w:t xml:space="preserve"> </w:t>
      </w:r>
      <w:r>
        <w:t xml:space="preserve">is found on mudflats, anchoring its thalli in the top 10 cm of mud</w:t>
      </w:r>
      <w:r>
        <w:t xml:space="preserve"> </w:t>
      </w:r>
      <w:r>
        <w:t xml:space="preserve">(Surget, 2017)</w:t>
      </w:r>
      <w:r>
        <w:t xml:space="preserve">, and inhabiting the upper intertidal zone of estuaries in Western Europe—an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soft-sediment environments, the methodology developed in this study provides a framework for mapping this species in coastal areas. A multispectral sensor is necessary to obtain spatially explicit maps when this species is mixed with other classes of intertidal vegetation. However, when monospecific mats are the primary vegetation colonising tidal flats, RGB drone imagery can be exploited.</w:t>
      </w:r>
    </w:p>
    <w:bookmarkEnd w:id="359"/>
    <w:bookmarkStart w:id="360"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of West European estuaries revealed a relationship with mudflat topography, significantly influencing algal abundance. Our results showed that higher elevations within the intertidal zone supported a greater abundance of</w:t>
      </w:r>
      <w:r>
        <w:t xml:space="preserve"> </w:t>
      </w:r>
      <w:r>
        <w:rPr>
          <w:i/>
          <w:iCs/>
        </w:rPr>
        <w:t xml:space="preserve">G. vermiculophylla</w:t>
      </w:r>
      <w:r>
        <w:t xml:space="preserve">.</w:t>
      </w:r>
      <w:r>
        <w:t xml:space="preserve"> </w:t>
      </w:r>
      <w:r>
        <w:t xml:space="preserve">Thomsen et al. (2009)</w:t>
      </w:r>
      <w:r>
        <w:t xml:space="preserve"> </w:t>
      </w:r>
      <w:r>
        <w:t xml:space="preserve">observed this species inhabiting areas as elevated as the mudflat-marsh border. This capacity to colonise the upper intertidal is related to its physiological plasticity and high-stress resistance</w:t>
      </w:r>
      <w:r>
        <w:t xml:space="preserve"> </w:t>
      </w:r>
      <w:r>
        <w:t xml:space="preserve">(Thomsen et al., 2007)</w:t>
      </w:r>
      <w:r>
        <w:t xml:space="preserve">. Its capacity for sustained growth under desiccation, light and salinity extremes</w:t>
      </w:r>
      <w:r>
        <w:t xml:space="preserve"> </w:t>
      </w:r>
      <w:r>
        <w:t xml:space="preserve">(Nyberg, 2007; Raikar et al., 2001; Rueness, 2005)</w:t>
      </w:r>
      <w:r>
        <w:t xml:space="preserve"> </w:t>
      </w:r>
      <w:r>
        <w:t xml:space="preserve">explains its successful establishment at high elevations in mesohaline estuarine environments</w:t>
      </w:r>
      <w:r>
        <w:t xml:space="preserve"> </w:t>
      </w:r>
      <w:r>
        <w:t xml:space="preserve">(Weinberger et al., 2008)</w:t>
      </w:r>
      <w:r>
        <w:t xml:space="preserve">. In the Belon estuary, most of</w:t>
      </w:r>
      <w:r>
        <w:t xml:space="preserve"> </w:t>
      </w:r>
      <w:r>
        <w:rPr>
          <w:i/>
          <w:iCs/>
        </w:rPr>
        <w:t xml:space="preserve">G. vermiculophylla</w:t>
      </w:r>
      <w:r>
        <w:t xml:space="preserve"> </w:t>
      </w:r>
      <w:r>
        <w:t xml:space="preserve">was found between 1 and 2 m above MSL, which are high elevations for which rapid desiccation of this macroalgae was described by</w:t>
      </w:r>
      <w:r>
        <w:t xml:space="preserve"> </w:t>
      </w:r>
      <w:r>
        <w:t xml:space="preserve">Thomsen and McGlathery (2007)</w:t>
      </w:r>
      <w:r>
        <w:t xml:space="preserve"> </w:t>
      </w:r>
      <w:r>
        <w:t xml:space="preserve">in shallow lagoons of the Eastern Atlantic coast. The thick mat structure observed in Western Europe may explain this discrepancy by retaining more water. A lower hydrodynamism also characterizes these areas. Unlike seagrasses, another type of marine plant that can colonize soft sediment, but possesses rhizomes that provide robust anchorage,</w:t>
      </w:r>
      <w:r>
        <w:t xml:space="preserve"> </w:t>
      </w:r>
      <w:r>
        <w:rPr>
          <w:i/>
          <w:iCs/>
        </w:rPr>
        <w:t xml:space="preserve">G. vermiculophylla</w:t>
      </w:r>
      <w:r>
        <w:t xml:space="preserve"> </w:t>
      </w:r>
      <w:r>
        <w:t xml:space="preserve">lacks such specialized structures. Consequently, it is more vulnerable to disturbance and displacement by waves and tidal currents than seagrass. In the estuaries of South Brittany, this species can bury part of its thalli into the upper layers of soft sediment</w:t>
      </w:r>
      <w:r>
        <w:t xml:space="preserve"> </w:t>
      </w:r>
      <w:r>
        <w:t xml:space="preserve">(Surget, 2017)</w:t>
      </w:r>
      <w:r>
        <w:t xml:space="preserve">. This mode of anchorage likely helps</w:t>
      </w:r>
      <w:r>
        <w:t xml:space="preserve"> </w:t>
      </w:r>
      <w:r>
        <w:rPr>
          <w:i/>
          <w:iCs/>
        </w:rPr>
        <w:t xml:space="preserve">G. vermiculophylla</w:t>
      </w:r>
      <w:r>
        <w:t xml:space="preserve"> </w:t>
      </w:r>
      <w:r>
        <w:t xml:space="preserve">withstand strong currents or wave action and contributes to forming these thick mats. The creation of such mats probably also requires areas with high sedimentation rates, typically found in the upper intertidal or the vicinity of marshes, promoting sediment deposition</w:t>
      </w:r>
      <w:r>
        <w:t xml:space="preserve"> </w:t>
      </w:r>
      <w:r>
        <w:t xml:space="preserve">(Mudd et al., 2010)</w:t>
      </w:r>
      <w:r>
        <w:t xml:space="preserve">. This observation aligns with the findings illustrated in</w:t>
      </w:r>
      <w:r>
        <w:t xml:space="preserve"> </w:t>
      </w:r>
      <w:r>
        <w:t xml:space="preserve">$Figure~\ref{fig-HistoricalMap_g}$</w:t>
      </w:r>
      <w:r>
        <w:t xml:space="preserve">, which show that one of the first areas colonized by</w:t>
      </w:r>
      <w:r>
        <w:t xml:space="preserve"> </w:t>
      </w:r>
      <w:r>
        <w:rPr>
          <w:i/>
          <w:iCs/>
        </w:rPr>
        <w:t xml:space="preserve">G. vermiculophylla</w:t>
      </w:r>
      <w:r>
        <w:t xml:space="preserve"> </w:t>
      </w:r>
      <w:r>
        <w:t xml:space="preserve">in the Belon estuary was located near a salt marsh patch. These dense mats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There was a significant negative relationship between slope steepness and the density of</w:t>
      </w:r>
      <w:r>
        <w:t xml:space="preserve"> </w:t>
      </w:r>
      <w:r>
        <w:rPr>
          <w:i/>
          <w:iCs/>
        </w:rPr>
        <w:t xml:space="preserve">G. vermiculophylla</w:t>
      </w:r>
      <w:r>
        <w:t xml:space="preserve">.</w:t>
      </w:r>
      <w:r>
        <w:t xml:space="preserve"> </w:t>
      </w:r>
      <w:r>
        <w:t xml:space="preserve">Besterman et al. (2021)</w:t>
      </w:r>
      <w:r>
        <w:t xml:space="preserve"> </w:t>
      </w:r>
      <w:r>
        <w:t xml:space="preserve">showed that mudflat topography was a good predictor of</w:t>
      </w:r>
      <w:r>
        <w:t xml:space="preserve"> </w:t>
      </w:r>
      <w:r>
        <w:rPr>
          <w:i/>
          <w:iCs/>
        </w:rPr>
        <w:t xml:space="preserve">G. vermiculophylla</w:t>
      </w:r>
      <w:r>
        <w:t xml:space="preserve"> </w:t>
      </w:r>
      <w:r>
        <w:t xml:space="preserve">abundance, while</w:t>
      </w:r>
      <w:r>
        <w:t xml:space="preserve"> </w:t>
      </w:r>
      <w:r>
        <w:t xml:space="preserve">Thomsen et al. (2009)</w:t>
      </w:r>
      <w:r>
        <w:t xml:space="preserve"> </w:t>
      </w:r>
      <w:r>
        <w:t xml:space="preserve">reported a high abundance in marshes with low slopes. Mudflat topography integrates several flow-related variables</w:t>
      </w:r>
      <w:r>
        <w:t xml:space="preserve"> </w:t>
      </w:r>
      <w:r>
        <w:t xml:space="preserve">(Besterman et al., 2021)</w:t>
      </w:r>
      <w:r>
        <w:t xml:space="preserve">. Steeper slopes are typically associated with higher current velocities during tidal exchanges, resulting in stronger erosion and reduced sedimentation. Areas with steeper slopes may also limit the retention of organic matter and nutrients, reducing the availability of essential resources needed for algal growth. 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These low-slope conditions may also favour dense algal mat formation, further stabilising the sediment and promoting growth.</w:t>
      </w:r>
    </w:p>
    <w:bookmarkEnd w:id="360"/>
    <w:bookmarkStart w:id="361"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macroalga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Belon Estuary suggest the initial presence of this species in 1976</w:t>
      </w:r>
      <w:r>
        <w:t xml:space="preserve"> </w:t>
      </w:r>
      <w:r>
        <w:t xml:space="preserve">$Figure~\ref{fig-HistoricalMap_g}$</w:t>
      </w:r>
      <w:r>
        <w:t xml:space="preserve">, preceding its first formal description in European waters in 1996 by two decades</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detecting, monitoring, and reporting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corresponds with the introduction of the Pacific oyster (</w:t>
      </w:r>
      <w:r>
        <w:rPr>
          <w:i/>
          <w:iCs/>
        </w:rPr>
        <w:t xml:space="preserve">Crassostrea gigas</w:t>
      </w:r>
      <w:r>
        <w:t xml:space="preserve">) into the estuary a few years before, between 1971 and 1975, and a potential vector for algal dispersal through aquaculture activities</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the alga progressively occupied suitable habitats, consistent with theoretical invasion dynamics involving a lag phase followed by rapid spread</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Belon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Remote sensing facilitates timely interventions by capturing detailed data on the spatial distribution and habitat preferences of species such as</w:t>
      </w:r>
      <w:r>
        <w:t xml:space="preserve"> </w:t>
      </w:r>
      <w:r>
        <w:rPr>
          <w:i/>
          <w:iCs/>
        </w:rPr>
        <w:t xml:space="preserve">G. vermiculophylla</w:t>
      </w:r>
      <w:r>
        <w:t xml:space="preserve">,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61"/>
    <w:bookmarkEnd w:id="362"/>
    <w:bookmarkStart w:id="363" w:name="conclusion-1"/>
    <w:p>
      <w:pPr>
        <w:pStyle w:val="Heading2"/>
      </w:pPr>
      <w:r>
        <w:t xml:space="preserve">4.5 Conclusion</w:t>
      </w:r>
    </w:p>
    <w:p>
      <w:pPr>
        <w:pStyle w:val="FirstParagraph"/>
      </w:pPr>
      <w:r>
        <w:t xml:space="preserve">This study demonstrated the potential of high-resolution drone-based multispectral remote sensing to map the spatial and temporal distribution of the invasive red macroalga</w:t>
      </w:r>
      <w:r>
        <w:t xml:space="preserve"> </w:t>
      </w:r>
      <w:r>
        <w:rPr>
          <w:i/>
          <w:iCs/>
        </w:rPr>
        <w:t xml:space="preserve">G. vermiculophylla</w:t>
      </w:r>
      <w:r>
        <w:t xml:space="preserve"> </w:t>
      </w:r>
      <w:r>
        <w:t xml:space="preserve">in European estuaries. By employing the DISCOV machine-learning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temporal progression, derived from a historical dataset spanning over seven decades, highlights the progressive establishment and expansion of the algae. Notably, our remote sensing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 The historical aerial imagery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Pacific oyster aquaculture, suggesting a potential link with the proliferation of this invasive species. These findings underscore the crucial role of remote sensing in ecological research, particularly in studying invasive species</w:t>
      </w:r>
      <w:r>
        <w:t xml:space="preserve"> </w:t>
      </w:r>
      <w:r>
        <w:t xml:space="preserve">(Roca et al., 2022)</w:t>
      </w:r>
      <w:r>
        <w:t xml:space="preserve">. Integrating hyperspectral sensors could enhance species-level discrimination while adopting low-cost RGB-based methods could extend monitoring capacities to a broader range of stakeholders. The larger mats could be detected at a coarser spatial resolution, and a perspective of this work is to use Sentinel 2 satellite images at a 10 m resolution</w:t>
      </w:r>
      <w:r>
        <w:t xml:space="preserve"> </w:t>
      </w:r>
      <w:r>
        <w:t xml:space="preserve">(Davies et al., 2024b)</w:t>
      </w:r>
      <w:r>
        <w:t xml:space="preserve">. These advancements will be crucial for informing management strategies, fostering community engagement, and preserving estuarine biodiversity in the face of ongoing ecological changes.</w:t>
      </w:r>
    </w:p>
    <w:p>
      <w:r>
        <w:br w:type="page"/>
      </w:r>
    </w:p>
    <w:bookmarkEnd w:id="363"/>
    <w:bookmarkStart w:id="373" w:name="annexes"/>
    <w:p>
      <w:pPr>
        <w:pStyle w:val="Heading2"/>
      </w:pPr>
      <w:r>
        <w:t xml:space="preserve">4.6 Annexes</w:t>
      </w:r>
    </w:p>
    <w:bookmarkStart w:id="364" w:name="sec-AnnexeA"/>
    <w:p>
      <w:pPr>
        <w:pStyle w:val="Heading3"/>
      </w:pPr>
      <w:r>
        <w:t xml:space="preserve">4.6.1 Annexes A - Updated training dataset</w:t>
      </w:r>
    </w:p>
    <w:p>
      <w:r>
        <w:br w:type="page"/>
      </w:r>
    </w:p>
    <w:bookmarkEnd w:id="364"/>
    <w:bookmarkStart w:id="365" w:name="sec-AnnexeB"/>
    <w:p>
      <w:pPr>
        <w:pStyle w:val="Heading3"/>
      </w:pPr>
      <w:r>
        <w:t xml:space="preserve">4.6.2 Annexes B - Validation dataset</w:t>
      </w:r>
    </w:p>
    <w:p>
      <w:r>
        <w:br w:type="page"/>
      </w:r>
    </w:p>
    <w:bookmarkEnd w:id="365"/>
    <w:bookmarkStart w:id="367"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66" w:name="tbl-IGNimg"/>
          <w:p>
            <w:pPr>
              <w:jc w:val="center"/>
            </w:pPr>
            <w:pPr>
              <w:jc w:val="start"/>
              <w:spacing w:before="200"/>
              <w:pStyle w:val="ImageCaption"/>
            </w:pPr>
            <w:r>
              <w:t xml:space="preserve">Table 4.1: Annexe 4.3 - Images used to assess the historical presence of</w:t>
            </w:r>
            <w:r>
              <w:t xml:space="preserve"> </w:t>
            </w:r>
            <w:r>
              <w:rPr>
                <w:i/>
                <w:iCs/>
              </w:rPr>
              <w:t xml:space="preserve">Gracilaria vermiculophylla</w:t>
            </w:r>
            <w:r>
              <w:t xml:space="preserve"> </w:t>
            </w:r>
            <w:r>
              <w:t xml:space="preserve">in the Belon estuary. Images from the IGN data source have been retrieved from the</w:t>
            </w:r>
            <w:r>
              <w:t xml:space="preserve"> </w:t>
            </w:r>
            <w:r>
              <w:t xml:space="preserve">“Remonter Le Temps”</w:t>
            </w:r>
            <w:r>
              <w:t xml:space="preserve"> </w:t>
            </w:r>
            <w:r>
              <w:t xml:space="preserve">platform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66"/>
        </w:tc>
      </w:tr>
    </w:tbl>
    <w:p>
      <w:r>
        <w:br w:type="page"/>
      </w:r>
    </w:p>
    <w:bookmarkEnd w:id="367"/>
    <w:bookmarkStart w:id="372" w:name="sec-AnnexeD"/>
    <w:p>
      <w:pPr>
        <w:pStyle w:val="Heading3"/>
      </w:pPr>
      <w:r>
        <w:t xml:space="preserve">4.6.4 Annexes D - Maps of the Saja estuary, Spain</w:t>
      </w:r>
    </w:p>
    <w:tbl>
      <w:tblPr>
        <w:tblStyle w:val="Table"/>
        <w:tblW w:type="pct" w:w="5000"/>
        <w:tblLayout w:type="fixed"/>
        <w:tblLook w:firstRow="0" w:lastRow="0" w:firstColumn="0" w:lastColumn="0" w:noHBand="0" w:noVBand="0" w:val="0000"/>
      </w:tblPr>
      <w:tblGrid>
        <w:gridCol w:w="7920"/>
      </w:tblGrid>
      <w:tr>
        <w:tc>
          <w:tcPr/>
          <w:bookmarkStart w:id="371" w:name="fig-Saja_g"/>
          <w:p>
            <w:pPr>
              <w:pStyle w:val="Compact"/>
              <w:jc w:val="center"/>
            </w:pPr>
            <w:r>
              <w:drawing>
                <wp:inline>
                  <wp:extent cx="5052060" cy="8217798"/>
                  <wp:effectExtent b="0" l="0" r="0" t="0"/>
                  <wp:docPr descr="" title="" id="369" name="Picture"/>
                  <a:graphic>
                    <a:graphicData uri="http://schemas.openxmlformats.org/drawingml/2006/picture">
                      <pic:pic>
                        <pic:nvPicPr>
                          <pic:cNvPr descr="Chapter4/Figs/Saja_maps.png" id="370" name="Picture"/>
                          <pic:cNvPicPr>
                            <a:picLocks noChangeArrowheads="1" noChangeAspect="1"/>
                          </pic:cNvPicPr>
                        </pic:nvPicPr>
                        <pic:blipFill>
                          <a:blip r:embed="rId368"/>
                          <a:stretch>
                            <a:fillRect/>
                          </a:stretch>
                        </pic:blipFill>
                        <pic:spPr bwMode="auto">
                          <a:xfrm>
                            <a:off x="0" y="0"/>
                            <a:ext cx="5052060" cy="8217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of the Saja estuary, Nothern Spain. The total extent of this flight was 20.4 ha with a resolution of 80 mm per pixel.</w:t>
            </w:r>
          </w:p>
          <w:bookmarkEnd w:id="371"/>
        </w:tc>
      </w:tr>
    </w:tbl>
    <w:bookmarkEnd w:id="372"/>
    <w:bookmarkEnd w:id="373"/>
    <w:bookmarkEnd w:id="374"/>
    <w:bookmarkStart w:id="465" w:name="X1561e86f51a34bd510c830a563784fa1d07c37a"/>
    <w:p>
      <w:pPr>
        <w:pStyle w:val="Heading1"/>
      </w:pPr>
      <w:r>
        <w:t xml:space="preserve">5. The impact of Heatwave on Seagrasses using hyperspectral and multispectral remote sensing</w:t>
      </w:r>
    </w:p>
    <w:bookmarkStart w:id="375" w:name="abstract-3"/>
    <w:p>
      <w:pPr>
        <w:pStyle w:val="Heading2"/>
      </w:pPr>
      <w:r>
        <w:t xml:space="preserve">Abstract</w:t>
      </w:r>
    </w:p>
    <w:p>
      <w:pPr>
        <w:pStyle w:val="FirstParagraph"/>
      </w:pPr>
      <w:r>
        <w:t xml:space="preserve">Seagrasses play a vital role in coastal ecosystems, providing habitat, stabilizing sediments, and contributing to carbon sequestration. However, climate change has increased the frequency and intensity of heatwaves, posing a significant threat to seagrass health. This study investigates the effects of marine and atmospheric heatwaves on the spectral reflectance of the intertidal seagrass</w:t>
      </w:r>
      <w:r>
        <w:t xml:space="preserve"> </w:t>
      </w:r>
      <w:r>
        <w:rPr>
          <w:i/>
          <w:iCs/>
        </w:rPr>
        <w:t xml:space="preserve">Zostera noltei</w:t>
      </w:r>
      <w:r>
        <w:t xml:space="preserve">. Laboratory experiments were conducted under controlled heatwave conditions, where hyperspectral reflectance measurements were taken to assess the impacts over time. Heatwaves caused a substantial decline in seagrass reflectance, particularly in the green and near-infrared regions, corresponding to the browning of green leaves. Key vegetation indices, including the Normalized Difference Vegetation Index (NDVI) and Green Leaf Index (GLI), showed pronounced reductions under heatwave stress, with NDVI values decreasing by up to 34% and GLI by 57%. A novel metric, the Seagrass Heat Shock Index (SHSI), was developed to quantify the transition of seagrass leaves from green to brown, demonstrating a strong ability to capture the effects of heatwave exposure on seagrass coloration. Multispectral satellite observations corroborated the laboratory results, revealing widespread browning of seagrass leaves during marine and atmospheric heatwave events in South Brittany, France. Notably, darkened seagrass patches were observed in intertidal areas exposed to temperatures exceeding 32°C for over 13.5 hours per day. These findings highlight the potential of spectral reflectance as a tool for detecting early signs of heatwave-induced stress in seagrasses, offering a valuable method for remote sensing-based habitat assessment. The present study underscores the potential of remote sensing to capture rapid environmental changes in intertidal zones, enabling for continuous monitoring of seagrass meadows under the current and future climate regimes.</w:t>
      </w:r>
    </w:p>
    <w:bookmarkEnd w:id="375"/>
    <w:bookmarkStart w:id="376"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Intertidal seagrasses are subjected to a combination of aquatic and aerial conditions linked with tidal cycles, and face disturbance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(Brun et al., 2003; 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worldwide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 Zostera marina along the European thermal gradient exhibit varied photophysiological responses during the recovery phase of HWs, indicating differential adaptation capabilities among populations (Winters et al., 2011). High-latitude populations exhibited prolonged declines in photophysiological performance even after temperatures returned to control levels, whereas the low-latitude Adriatic population showed full recovery</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 Although extensive research exists on marine heatwaves’ effects on subtidal seagrasses</w:t>
      </w:r>
      <w:r>
        <w:t xml:space="preserve"> </w:t>
      </w:r>
      <w:r>
        <w:t xml:space="preserve">(Arias-Ortiz et al., 2018; Deguette et al., 2022; Strydom et al., 2020)</w:t>
      </w:r>
      <w:r>
        <w:t xml:space="preserve">, less attention has been given to intertidal habitats and even less to the effect of atmospheric extreme events on intertidal seagrass. Nonetheless, recent research showed that the low tide exposure of</w:t>
      </w:r>
      <w:r>
        <w:t xml:space="preserve"> </w:t>
      </w:r>
      <w:r>
        <w:rPr>
          <w:i/>
          <w:iCs/>
        </w:rPr>
        <w:t xml:space="preserve">Zostera noltei</w:t>
      </w:r>
      <w:r>
        <w:t xml:space="preserve"> </w:t>
      </w:r>
      <w:r>
        <w:t xml:space="preserve">to a simulated four-day atmospheric HW caused significant decreases in its photosynthetic efficiency, resulting in leaf necrosis and decay</w:t>
      </w:r>
      <w:r>
        <w:t xml:space="preserve"> </w:t>
      </w:r>
      <w:r>
        <w:t xml:space="preserve">(M. Román et al., 2023)</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remote sensing,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2022a; Olmedo-Masat et al., 2020; Ustin and Jacquemoud, 2020)</w:t>
      </w:r>
      <w:r>
        <w:t xml:space="preserve">. During the senescence phase of seagrass’ life-cycle, the degradation of chlorophyll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remote sensing</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The findings will then be applied to satellite remote sensing images, providing critical insights into the spatial extent and temporal dynamics of HW effects on seagrass meadows. By linking experimental results with large-scale observations of seagrass leaves’ browning, the study aims to underscore the potential of remote sensing to enhance our understanding of seagrass responses to extreme thermal events across diverse settings and timescales.</w:t>
      </w:r>
    </w:p>
    <w:bookmarkEnd w:id="376"/>
    <w:bookmarkStart w:id="414" w:name="materials-methods-2"/>
    <w:p>
      <w:pPr>
        <w:pStyle w:val="Heading2"/>
      </w:pPr>
      <w:r>
        <w:t xml:space="preserve">5.2 Materials &amp; Methods</w:t>
      </w:r>
    </w:p>
    <w:bookmarkStart w:id="397" w:name="laboratory-experiment"/>
    <w:p>
      <w:pPr>
        <w:pStyle w:val="Heading3"/>
      </w:pPr>
      <w:r>
        <w:t xml:space="preserve">5.2.1 Laboratory Experiment</w:t>
      </w:r>
    </w:p>
    <w:bookmarkStart w:id="381"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coring devices was used to sample seagrass from an area of 30x15x5 cm (length x width x depth, respectively), maintaining the sediment structure and avoiding damage to seagrass rhizomes and leaves (</w:t>
      </w:r>
      <w:hyperlink w:anchor="fig-design_h">
        <w:r>
          <w:rPr>
            <w:rStyle w:val="Hyperlink"/>
          </w:rPr>
          <w:t xml:space="preserve">Figure 5.1</w:t>
        </w:r>
      </w:hyperlink>
      <w:r>
        <w:t xml:space="preserve"> </w:t>
      </w:r>
      <w:r>
        <w:t xml:space="preserve">A). These coring device enabled the collection of sediment samples at a consistent depth, minimizing variability between samples. A total of six samples were collected.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4km away from the seagrass sampling site and transported to the lab, where it was filtered using a 0.22 µm nitrocellulose filter to remove suspended particulate matter. The filtered seawater was used in the acclimation tank and the intertidal chambers. The seagrasses were acclimated for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p>
    <w:tbl>
      <w:tblPr>
        <w:tblStyle w:val="Table"/>
        <w:tblW w:type="pct" w:w="5000"/>
        <w:tblLayout w:type="fixed"/>
        <w:tblLook w:firstRow="0" w:lastRow="0" w:firstColumn="0" w:lastColumn="0" w:noHBand="0" w:noVBand="0" w:val="0000"/>
      </w:tblPr>
      <w:tblGrid>
        <w:gridCol w:w="7920"/>
      </w:tblGrid>
      <w:tr>
        <w:tc>
          <w:tcPr/>
          <w:bookmarkStart w:id="380" w:name="fig-design_h"/>
          <w:p>
            <w:pPr>
              <w:pStyle w:val="Compact"/>
              <w:jc w:val="center"/>
            </w:pPr>
            <w:r>
              <w:drawing>
                <wp:inline>
                  <wp:extent cx="5646420" cy="5554024"/>
                  <wp:effectExtent b="0" l="0" r="0" t="0"/>
                  <wp:docPr descr="" title="" id="378" name="Picture"/>
                  <a:graphic>
                    <a:graphicData uri="http://schemas.openxmlformats.org/drawingml/2006/picture">
                      <pic:pic>
                        <pic:nvPicPr>
                          <pic:cNvPr descr="Chapter5/Figs/Experimental_design.png" id="379" name="Picture"/>
                          <pic:cNvPicPr>
                            <a:picLocks noChangeArrowheads="1" noChangeAspect="1"/>
                          </pic:cNvPicPr>
                        </pic:nvPicPr>
                        <pic:blipFill>
                          <a:blip r:embed="rId377"/>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3 days after the start of the HW event.</w:t>
            </w:r>
          </w:p>
          <w:bookmarkEnd w:id="380"/>
        </w:tc>
      </w:tr>
    </w:tbl>
    <w:bookmarkEnd w:id="381"/>
    <w:bookmarkStart w:id="386" w:name="experimental-design"/>
    <w:p>
      <w:pPr>
        <w:pStyle w:val="Heading4"/>
      </w:pPr>
      <w:r>
        <w:t xml:space="preserve">5.2.1.2 Experimental design</w:t>
      </w:r>
    </w:p>
    <w:p>
      <w:pPr>
        <w:pStyle w:val="FirstParagraph"/>
      </w:pPr>
      <w:r>
        <w:t xml:space="preserve">A tidal cycle (i.e. regularly alternating 6h of low-tide and 6h of high-tide) was simulated in the laboratory using an intertidal chamber system from ElectricBlue® (</w:t>
      </w:r>
      <w:hyperlink w:anchor="fig-design_h">
        <w:r>
          <w:rPr>
            <w:rStyle w:val="Hyperlink"/>
          </w:rPr>
          <w:t xml:space="preserve">Figure 5.1</w:t>
        </w:r>
      </w:hyperlink>
      <w:r>
        <w:t xml:space="preserve"> </w:t>
      </w:r>
      <w:r>
        <w:t xml:space="preserve">B ;</w:t>
      </w:r>
      <w:r>
        <w:t xml:space="preserve"> </w:t>
      </w:r>
      <w:r>
        <w:t xml:space="preserve">Electric Blue (2023)</w:t>
      </w:r>
      <w:r>
        <w:t xml:space="preserve">). The experimental setup allowed only two tidal states: high tide or low tide, with no intermediate stages. The transition between these states took about 15 minutes to complete after initiation.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a low mount of red and infrared radiation. To achieve a Photosynthetically Active Radiation (PAR) intensity of up to 400 μmol·m⁻²·s⁻¹, a filament bulb was added inside the chambers. During the diurnal phase of the experiment, the PAR was kept constant in both intertidal chambers. To follow the circadian cycle, these lights (both LED and filament bulb) were turned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w:t>
      </w:r>
      <w:hyperlink w:anchor="fig-Profile_h">
        <w:r>
          <w:rPr>
            <w:rStyle w:val="Hyperlink"/>
          </w:rPr>
          <w:t xml:space="preserve">Figure 5.2</w:t>
        </w:r>
      </w:hyperlink>
      <w:r>
        <w:t xml:space="preserve">). Field temperature was measured using</w:t>
      </w:r>
      <w:r>
        <w:t xml:space="preserve"> </w:t>
      </w:r>
      <w:r>
        <w:rPr>
          <w:i/>
          <w:iCs/>
        </w:rPr>
        <w:t xml:space="preserve">in situ</w:t>
      </w:r>
      <w:r>
        <w:t xml:space="preserve"> </w:t>
      </w:r>
      <w:r>
        <w:t xml:space="preserve">sensors (T7.3 EnvLoggers from ElectricBlue®) deployed at the sampling site in August 2024. The loggers were positioned along a transect from the upper to the lower intertidal zone, attached to pre-existing wooden poles at the sediment surface. In complement, the daily temperature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summer conditions, with water temperatures at 18°C and air temperatures from 19°C to 23°C, following natural daily temperature fluctuations (</w:t>
      </w:r>
      <w:hyperlink w:anchor="fig-Profile_h">
        <w:r>
          <w:rPr>
            <w:rStyle w:val="Hyperlink"/>
          </w:rPr>
          <w:t xml:space="preserve">Figure 5.2</w:t>
        </w:r>
      </w:hyperlink>
      <w:r>
        <w:t xml:space="preserve">). In the treatment chamber,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also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with both treatment and control chambers,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85" w:name="fig-Profile_h"/>
          <w:p>
            <w:pPr>
              <w:pStyle w:val="Compact"/>
              <w:jc w:val="center"/>
            </w:pPr>
            <w:r>
              <w:drawing>
                <wp:inline>
                  <wp:extent cx="5646420" cy="2582402"/>
                  <wp:effectExtent b="0" l="0" r="0" t="0"/>
                  <wp:docPr descr="" title="" id="383" name="Picture"/>
                  <a:graphic>
                    <a:graphicData uri="http://schemas.openxmlformats.org/drawingml/2006/picture">
                      <pic:pic>
                        <pic:nvPicPr>
                          <pic:cNvPr descr="Chapter5/Figs/Chamber_Profils.png" id="384" name="Picture"/>
                          <pic:cNvPicPr>
                            <a:picLocks noChangeArrowheads="1" noChangeAspect="1"/>
                          </pic:cNvPicPr>
                        </pic:nvPicPr>
                        <pic:blipFill>
                          <a:blip r:embed="rId382"/>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85"/>
        </w:tc>
      </w:tr>
    </w:tbl>
    <w:bookmarkEnd w:id="386"/>
    <w:bookmarkStart w:id="396" w:name="optical-measurements"/>
    <w:p>
      <w:pPr>
        <w:pStyle w:val="Heading4"/>
      </w:pPr>
      <w:r>
        <w:t xml:space="preserve">5.2.1.3 Optical measurements</w:t>
      </w:r>
    </w:p>
    <w:bookmarkStart w:id="387"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87"/>
    <w:bookmarkStart w:id="395"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(δδ665),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pStyle w:val="Compact"/>
        <w:numPr>
          <w:ilvl w:val="0"/>
          <w:numId w:val="1005"/>
        </w:numPr>
      </w:pPr>
      <w:r>
        <w:t xml:space="preserve">The Normalized Difference Vegetation Index (NDVI,</w:t>
      </w:r>
      <w:r>
        <w:t xml:space="preserve"> </w:t>
      </w:r>
      <w:r>
        <w:t xml:space="preserve">Rouse et al. (1974)</w:t>
      </w:r>
      <w:r>
        <w:t xml:space="preserve">), a proxy of chlorophyll-a concentration (</w:t>
      </w:r>
      <w:hyperlink w:anchor="eq-ndvi">
        <w:r>
          <w:rPr>
            <w:rStyle w:val="Hyperlink"/>
          </w:rPr>
          <w:t xml:space="preserve">Equation 5.1</w:t>
        </w:r>
      </w:hyperlink>
      <w:r>
        <w:t xml:space="preserve">)</w:t>
      </w:r>
    </w:p>
    <w:p>
      <w:pPr>
        <w:pStyle w:val="FirstParagraph"/>
      </w:pPr>
      <w:bookmarkStart w:id="388"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5.1</m:t>
              </m:r>
            </m:e>
          </m:d>
        </m:oMath>
      </m:oMathPara>
      <w:bookmarkEnd w:id="388"/>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and 668 nm respectively.</w:t>
      </w:r>
    </w:p>
    <w:p>
      <w:pPr>
        <w:pStyle w:val="Compact"/>
        <w:numPr>
          <w:ilvl w:val="0"/>
          <w:numId w:val="1006"/>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5.2</w:t>
        </w:r>
      </w:hyperlink>
      <w:r>
        <w:t xml:space="preserve">)</w:t>
      </w:r>
    </w:p>
    <w:p>
      <w:pPr>
        <w:pStyle w:val="FirstParagraph"/>
      </w:pPr>
      <w:bookmarkStart w:id="389"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5.2</m:t>
              </m:r>
            </m:e>
          </m:d>
        </m:oMath>
      </m:oMathPara>
      <w:bookmarkEnd w:id="389"/>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p>
    <w:p>
      <w:pPr>
        <w:pStyle w:val="BodyText"/>
      </w:pPr>
      <w:r>
        <w:t xml:space="preserve">Based on the observed spectral changes in seagrasses exposed to HWs, we developed a new radiometric index to better detect the radiometric change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subtracts the reflectance observed at 740 nm to the linearly interpolated reflectance between 560 and 842 nm, so that the index is positive in the case of brown, HW-impacted seagrass leaves, and negative in the case of green, non-impacted leaves:</w:t>
      </w:r>
    </w:p>
    <w:p>
      <w:pPr>
        <w:pStyle w:val="BodyText"/>
      </w:pPr>
      <w:bookmarkStart w:id="390"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5.3</m:t>
              </m:r>
            </m:e>
          </m:d>
        </m:oMath>
      </m:oMathPara>
      <w:bookmarkEnd w:id="390"/>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and</w:t>
      </w:r>
      <w:r>
        <w:t xml:space="preserve"> </w:t>
      </w:r>
      <m:oMath>
        <m:r>
          <m:t>τ</m:t>
        </m:r>
      </m:oMath>
      <w:r>
        <w:t xml:space="preserve"> </w:t>
      </w:r>
      <w:r>
        <w:t xml:space="preserve">is equal to a content of 0.64. These wavelengths were selected to align with the spectral resolution of satellites missions such as Sentinel-2, for broader remote sensing application.</w:t>
      </w:r>
    </w:p>
    <w:tbl>
      <w:tblPr>
        <w:tblStyle w:val="Table"/>
        <w:tblW w:type="pct" w:w="5000"/>
        <w:tblLayout w:type="fixed"/>
        <w:tblLook w:firstRow="0" w:lastRow="0" w:firstColumn="0" w:lastColumn="0" w:noHBand="0" w:noVBand="0" w:val="0000"/>
      </w:tblPr>
      <w:tblGrid>
        <w:gridCol w:w="7920"/>
      </w:tblGrid>
      <w:tr>
        <w:tc>
          <w:tcPr/>
          <w:bookmarkStart w:id="394" w:name="fig-SHSI_h"/>
          <w:p>
            <w:pPr>
              <w:pStyle w:val="Compact"/>
              <w:jc w:val="center"/>
            </w:pPr>
            <w:r>
              <w:drawing>
                <wp:inline>
                  <wp:extent cx="5646420" cy="5646420"/>
                  <wp:effectExtent b="0" l="0" r="0" t="0"/>
                  <wp:docPr descr="" title="" id="392" name="Picture"/>
                  <a:graphic>
                    <a:graphicData uri="http://schemas.openxmlformats.org/drawingml/2006/picture">
                      <pic:pic>
                        <pic:nvPicPr>
                          <pic:cNvPr descr="Chapter5/Figs/Plot_explain_SHSI.png" id="393" name="Picture"/>
                          <pic:cNvPicPr>
                            <a:picLocks noChangeArrowheads="1" noChangeAspect="1"/>
                          </pic:cNvPicPr>
                        </pic:nvPicPr>
                        <pic:blipFill>
                          <a:blip r:embed="rId391"/>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94"/>
        </w:tc>
      </w:tr>
    </w:tbl>
    <w:bookmarkEnd w:id="395"/>
    <w:bookmarkEnd w:id="396"/>
    <w:bookmarkEnd w:id="397"/>
    <w:bookmarkStart w:id="412"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atmospheric and marine HW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unimpacted QPs) and brown seagrasses (henceforth: impacted QPs),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1" w:name="fig-quiberonMap_h"/>
          <w:p>
            <w:pPr>
              <w:pStyle w:val="Compact"/>
              <w:jc w:val="center"/>
            </w:pPr>
            <w:r>
              <w:drawing>
                <wp:inline>
                  <wp:extent cx="5646420" cy="7238999"/>
                  <wp:effectExtent b="0" l="0" r="0" t="0"/>
                  <wp:docPr descr="" title="" id="399" name="Picture"/>
                  <a:graphic>
                    <a:graphicData uri="http://schemas.openxmlformats.org/drawingml/2006/picture">
                      <pic:pic>
                        <pic:nvPicPr>
                          <pic:cNvPr descr="Chapter5/Figs/Quiberon_map.png" id="400" name="Picture"/>
                          <pic:cNvPicPr>
                            <a:picLocks noChangeArrowheads="1" noChangeAspect="1"/>
                          </pic:cNvPicPr>
                        </pic:nvPicPr>
                        <pic:blipFill>
                          <a:blip r:embed="rId398"/>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observations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area indicate saltmarshes. Green points indicate the location of quadrat pictures over unimpacted seagrasses (i.e. showing a green colour on the field), and orange points indicate the location of quadrats taken over impacted seagrasses (i.e. showing a brown color on the field).</w:t>
            </w:r>
          </w:p>
          <w:bookmarkEnd w:id="401"/>
        </w:tc>
      </w:tr>
    </w:tbl>
    <w:tbl>
      <w:tblPr>
        <w:tblStyle w:val="Table"/>
        <w:tblW w:type="pct" w:w="5000"/>
        <w:tblLayout w:type="fixed"/>
        <w:tblLook w:firstRow="0" w:lastRow="0" w:firstColumn="0" w:lastColumn="0" w:noHBand="0" w:noVBand="0" w:val="0000"/>
      </w:tblPr>
      <w:tblGrid>
        <w:gridCol w:w="7920"/>
      </w:tblGrid>
      <w:tr>
        <w:tc>
          <w:tcPr/>
          <w:bookmarkStart w:id="405" w:name="fig-QuiberonImg_h"/>
          <w:p>
            <w:pPr>
              <w:pStyle w:val="Compact"/>
              <w:jc w:val="center"/>
            </w:pPr>
            <w:r>
              <w:drawing>
                <wp:inline>
                  <wp:extent cx="5646420" cy="3733115"/>
                  <wp:effectExtent b="0" l="0" r="0" t="0"/>
                  <wp:docPr descr="" title="" id="403" name="Picture"/>
                  <a:graphic>
                    <a:graphicData uri="http://schemas.openxmlformats.org/drawingml/2006/picture">
                      <pic:pic>
                        <pic:nvPicPr>
                          <pic:cNvPr descr="Chapter5/Figs/img_Quiberon.png" id="404" name="Picture"/>
                          <pic:cNvPicPr>
                            <a:picLocks noChangeArrowheads="1" noChangeAspect="1"/>
                          </pic:cNvPicPr>
                        </pic:nvPicPr>
                        <pic:blipFill>
                          <a:blip r:embed="rId402"/>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on 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405"/>
        </w:tc>
      </w:tr>
    </w:tbl>
    <w:bookmarkStart w:id="409" w:name="temperature-data-and-hw-detection"/>
    <w:p>
      <w:pPr>
        <w:pStyle w:val="Heading4"/>
      </w:pPr>
      <w:r>
        <w:t xml:space="preserve">5.2.2.1 Temperature data and HW detection</w:t>
      </w:r>
    </w:p>
    <w:bookmarkStart w:id="406" w:name="air-temperature"/>
    <w:p>
      <w:pPr>
        <w:pStyle w:val="Heading5"/>
      </w:pPr>
      <w:r>
        <w:t xml:space="preserve">5.2.2.1.1 Air temperature</w:t>
      </w:r>
    </w:p>
    <w:p>
      <w:pPr>
        <w:pStyle w:val="FirstParagraph"/>
      </w:pPr>
      <w:r>
        <w:t xml:space="preserve">Hourly air temperature data from 1952 to 2024 (more than 395,000 observation) from a nearby weather station (Lorient-Lann Bihoue, 47°45’46”N 3°26’11”W) was retrieved from Meteo France (https://portail-api.meteofrance.fr).</w:t>
      </w:r>
    </w:p>
    <w:bookmarkEnd w:id="406"/>
    <w:bookmarkStart w:id="407" w:name="water-temperature"/>
    <w:p>
      <w:pPr>
        <w:pStyle w:val="Heading5"/>
      </w:pPr>
      <w:r>
        <w:t xml:space="preserve">5.2.2.1.2 Water temperature</w:t>
      </w:r>
    </w:p>
    <w:p>
      <w:pPr>
        <w:pStyle w:val="FirstParagraph"/>
      </w:pPr>
      <w:r>
        <w:t xml:space="preserve">Sea Surface Temperature (SST) data from 1982 -2022 over the Quiberon coastal area was downloaded from the Copernicus Marine Data Store (Copernicus Marine Environment Monitoring Service,</w:t>
      </w:r>
      <w:r>
        <w:t xml:space="preserve"> </w:t>
      </w:r>
      <w:r>
        <w:t xml:space="preserve">CMEMS (2024)</w:t>
      </w:r>
      <w:r>
        <w:t xml:space="preserve">). An area of 2700 km² was extracted and analyzed. This area was large enough to minimize missing values caused by cloud cover and small enough to limit the influence of offshore SST stability.</w:t>
      </w:r>
    </w:p>
    <w:bookmarkEnd w:id="407"/>
    <w:bookmarkStart w:id="408" w:name="heatwave-detection-and-characterization"/>
    <w:p>
      <w:pPr>
        <w:pStyle w:val="Heading5"/>
      </w:pPr>
      <w:r>
        <w:t xml:space="preserve">5.2.2.1.3 Heatwave detection and characterization</w:t>
      </w:r>
    </w:p>
    <w:p>
      <w:pPr>
        <w:pStyle w:val="FirstParagraph"/>
      </w:pPr>
      <w:r>
        <w:t xml:space="preserve">MHW and AHW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(i.e. the average temperature of each day of the year since the start of the time serie) of both air and water temperature was computed. HWs were defined as events when the temperature exceeded the 90th percentile of the climatology during three consecutive days. Furthermore, the severity of each event was assessed using the methodology proposed by</w:t>
      </w:r>
      <w:r>
        <w:t xml:space="preserve"> </w:t>
      </w:r>
      <w:r>
        <w:t xml:space="preserve">Hobday et al. (2018)</w:t>
      </w:r>
      <w:r>
        <w:t xml:space="preserve">.</w:t>
      </w:r>
    </w:p>
    <w:bookmarkEnd w:id="408"/>
    <w:bookmarkEnd w:id="409"/>
    <w:bookmarkStart w:id="410" w:name="satellite-observations"/>
    <w:p>
      <w:pPr>
        <w:pStyle w:val="Heading4"/>
      </w:pPr>
      <w:r>
        <w:t xml:space="preserve">5.2.2.2 Satellite observations</w:t>
      </w:r>
    </w:p>
    <w:p>
      <w:pPr>
        <w:pStyle w:val="FirstParagraph"/>
      </w:pPr>
      <w:r>
        <w:t xml:space="preserve">Three 2021 Sentinel-2 images of the study site were selected to assess the effect of the combined AHW and MHW (</w:t>
      </w:r>
      <w:r>
        <w:t xml:space="preserve">“HW event”</w:t>
      </w:r>
      <w:r>
        <w:t xml:space="preserve">, henceforth) on the seagrass meadow: the first image was taken 5 days before the HW (1st of September 2021), the second image during the HW (6th of September 2021) and the third image one month later (8th of October 2021). Level-2 data were downloaded from the Copernicus open access hub</w:t>
      </w:r>
      <w:r>
        <w:t xml:space="preserve"> </w:t>
      </w:r>
      <w:r>
        <w:t xml:space="preserve">(ESA, 2024a)</w:t>
      </w:r>
      <w:r>
        <w:t xml:space="preserve"> </w:t>
      </w:r>
      <w:r>
        <w:t xml:space="preserve">provided by the European Space Agency (ESA). Level-2 images consist of orthorectified surface reflectance corrected from the effect of the atmosphere using ESA’s standard correction (i.e., Sen2cor,</w:t>
      </w:r>
      <w:r>
        <w:t xml:space="preserve"> </w:t>
      </w:r>
      <w:r>
        <w:t xml:space="preserve">ESA (2024b)</w:t>
      </w:r>
      <w:r>
        <w:t xml:space="preserve">).</w:t>
      </w:r>
    </w:p>
    <w:p>
      <w:pPr>
        <w:pStyle w:val="BodyText"/>
      </w:pPr>
      <w:r>
        <w:t xml:space="preserve">The SHSI (</w:t>
      </w:r>
      <w:hyperlink w:anchor="eq-SDI">
        <w:r>
          <w:rPr>
            <w:rStyle w:val="Hyperlink"/>
          </w:rPr>
          <w:t xml:space="preserve">Equation 5.3</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410"/>
    <w:bookmarkStart w:id="411" w:name="emersion-time-of-the-seagrass-meadow"/>
    <w:p>
      <w:pPr>
        <w:pStyle w:val="Heading4"/>
      </w:pPr>
      <w:r>
        <w:t xml:space="preserve">5.2.2.3 Emersion time of the seagrass meadow</w:t>
      </w:r>
    </w:p>
    <w:p>
      <w:pPr>
        <w:pStyle w:val="FirstParagraph"/>
      </w:pPr>
      <w:r>
        <w:t xml:space="preserve">The spatial distribution of seagrass emersion time during low tide was estimated using bathymetric and water level data. High resolution bathymetry data (Litto3D® product) for the Quiberon intertidal meadow were sourced from the</w:t>
      </w:r>
      <w:r>
        <w:t xml:space="preserve"> </w:t>
      </w:r>
      <w:r>
        <w:t xml:space="preserve">“Service Hydrographique et Océanographique de la Marine”</w:t>
      </w:r>
      <w:r>
        <w:t xml:space="preserve"> </w:t>
      </w:r>
      <w:r>
        <w:t xml:space="preserve">(SHOM, n.d.)</w:t>
      </w:r>
      <w:r>
        <w:t xml:space="preserve">, while one-minute interval water level data were downloaded from Intergovernmental Oceanographic Commission data portal</w:t>
      </w:r>
      <w:r>
        <w:t xml:space="preserve"> </w:t>
      </w:r>
      <w:r>
        <w:t xml:space="preserve">(IOC, n.d.)</w:t>
      </w:r>
      <w:r>
        <w:t xml:space="preserve">, using measurements from the nearest tide gauge at Le Crouesty. A 2.85 m vertical correction was applied to the Litto3D data to align its zero reference with that of the water level data (RAM,</w:t>
      </w:r>
      <w:r>
        <w:t xml:space="preserve"> </w:t>
      </w:r>
      <w:r>
        <w:t xml:space="preserve">SHOM (2022)</w:t>
      </w:r>
      <w:r>
        <w:t xml:space="preserve">)</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411"/>
    <w:bookmarkEnd w:id="412"/>
    <w:bookmarkStart w:id="413" w:name="statistics"/>
    <w:p>
      <w:pPr>
        <w:pStyle w:val="Heading3"/>
      </w:pPr>
      <w:r>
        <w:t xml:space="preserve">5.2.3 Statistics</w:t>
      </w:r>
    </w:p>
    <w:p>
      <w:pPr>
        <w:pStyle w:val="FirstParagraph"/>
      </w:pPr>
      <w:r>
        <w:t xml:space="preserve">General Linear Mixed effects Models (GLMMs) were used to assess relative differences over time in response variables (Spectral Indices) with different treatments (Impacted vs Unimpacted). To analyze the effect of HW on the reflectance indices observed during the lab experiment, the relative change was modeled as a function of Days (1-3: Discrete) with Runs (1-3: Factor) and Timestep within Run (1-6: Factor) as cross random factors. Satellite-derived SHSI were modeled as a function of Date (1-3: Discrete) and Treatment (Impacted vs Unimpacted: Categorical). A General Additive Model (GAM) was used to assess the relationship between relative SHSI change with emersion time. SHSI was modeled as a function of emersion time with a basis spline. All model parameters were estimated within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modeled assuming a Gaussian distribution, with weakly informative priors (Student-T(3,0,2.5)). Model parameters were estimated using Markov Chain Monte Carlo (MCMC) sampling, with 4 chains of 5000 iterations and a warm-up of 500.</w:t>
      </w:r>
    </w:p>
    <w:bookmarkEnd w:id="413"/>
    <w:bookmarkEnd w:id="414"/>
    <w:bookmarkStart w:id="449" w:name="results-3"/>
    <w:p>
      <w:pPr>
        <w:pStyle w:val="Heading2"/>
      </w:pPr>
      <w:r>
        <w:t xml:space="preserve">5.3 Results</w:t>
      </w:r>
    </w:p>
    <w:bookmarkStart w:id="429" w:name="laboratory-experiment-1"/>
    <w:p>
      <w:pPr>
        <w:pStyle w:val="Heading3"/>
      </w:pPr>
      <w:r>
        <w:t xml:space="preserve">5.3.1 Laboratory Experiment</w:t>
      </w:r>
    </w:p>
    <w:bookmarkStart w:id="419" w:name="heatwave-effect-on-seagrass-reflectance"/>
    <w:p>
      <w:pPr>
        <w:pStyle w:val="Heading4"/>
      </w:pPr>
      <w:r>
        <w:t xml:space="preserve">5.3.1.1 Heatwave effect on seagrass reflectance</w:t>
      </w:r>
    </w:p>
    <w:p>
      <w:pPr>
        <w:pStyle w:val="FirstParagraph"/>
      </w:pPr>
      <w:r>
        <w:t xml:space="preserve">During the laboratory HW experiment, the seagrass reflectance was drastically impacted by the increase in both air and water temperature (</w:t>
      </w:r>
      <w:hyperlink w:anchor="fig-Exp_Spectra_h">
        <w:r>
          <w:rPr>
            <w:rStyle w:val="Hyperlink"/>
          </w:rPr>
          <w:t xml:space="preserve">Figure 5.6</w:t>
        </w:r>
      </w:hyperlink>
      <w:r>
        <w:t xml:space="preserve">). The Control</w:t>
      </w:r>
      <w:r>
        <w:t xml:space="preserve"> </w:t>
      </w:r>
      <m:oMath>
        <m:r>
          <m:t>R</m:t>
        </m:r>
        <m:d>
          <m:dPr>
            <m:begChr m:val="("/>
            <m:endChr m:val=")"/>
            <m:sepChr m:val=""/>
            <m:grow/>
          </m:dPr>
          <m:e>
            <m:r>
              <m:t>λ</m:t>
            </m:r>
          </m:e>
        </m:d>
      </m:oMath>
      <w:r>
        <w:t xml:space="preserve">, displayed a spectral shape typical of seagrass, with a green peak around 560 nm, a valley associated with chlorophyll-a absorption around 665 nm, and a high near-infrared (NIR) plateau beyond 705 nm. This remained stable over time, with only minimal changes in magnitude and spectral features. In contrast, the Treatment</w:t>
      </w:r>
      <w:r>
        <w:t xml:space="preserve"> </w:t>
      </w:r>
      <m:oMath>
        <m:r>
          <m:t>R</m:t>
        </m:r>
        <m:d>
          <m:dPr>
            <m:begChr m:val="("/>
            <m:endChr m:val=")"/>
            <m:sepChr m:val=""/>
            <m:grow/>
          </m:dPr>
          <m:e>
            <m:r>
              <m:t>λ</m:t>
            </m:r>
          </m:e>
        </m:d>
      </m:oMath>
      <w:r>
        <w:t xml:space="preserve"> </w:t>
      </w:r>
      <w:r>
        <w:t xml:space="preserve">showed severe changes throughout the experiment. During day 1, the Treatment</w:t>
      </w:r>
      <w:r>
        <w:t xml:space="preserve"> </w:t>
      </w:r>
      <m:oMath>
        <m:r>
          <m:t>R</m:t>
        </m:r>
        <m:d>
          <m:dPr>
            <m:begChr m:val="("/>
            <m:endChr m:val=")"/>
            <m:sepChr m:val=""/>
            <m:grow/>
          </m:dPr>
          <m:e>
            <m:r>
              <m:t>λ</m:t>
            </m:r>
          </m:e>
        </m:d>
      </m:oMath>
      <w:r>
        <w:t xml:space="preserve"> </w:t>
      </w:r>
      <w:r>
        <w:t xml:space="preserve">was generally similar to the Control</w:t>
      </w:r>
      <w:r>
        <w:t xml:space="preserve"> </w:t>
      </w:r>
      <m:oMath>
        <m:r>
          <m:t>R</m:t>
        </m:r>
        <m:d>
          <m:dPr>
            <m:begChr m:val="("/>
            <m:endChr m:val=")"/>
            <m:sepChr m:val=""/>
            <m:grow/>
          </m:dPr>
          <m:e>
            <m:r>
              <m:t>λ</m:t>
            </m:r>
          </m:e>
        </m:d>
      </m:oMath>
      <w:r>
        <w:t xml:space="preserve">, despite a slightly less marked peak around 560 nm and slightly lower NIR values from 750 – 900 nm. A drastic decrease was then observed during days 2 and 3 across all wavelengths, particularly in the green – yellow spectral region (from 500 – 650 nm) and in the NIR (from 750 - 900 nm). During day 3, the collapse in</w:t>
      </w:r>
      <w:r>
        <w:t xml:space="preserve"> </w:t>
      </w:r>
      <m:oMath>
        <m:r>
          <m:t>R</m:t>
        </m:r>
        <m:d>
          <m:dPr>
            <m:begChr m:val="("/>
            <m:endChr m:val=")"/>
            <m:sepChr m:val=""/>
            <m:grow/>
          </m:dPr>
          <m:e>
            <m:r>
              <m:t>λ</m:t>
            </m:r>
          </m:e>
        </m:d>
      </m:oMath>
      <w:r>
        <w:t xml:space="preserve"> </w:t>
      </w:r>
      <w:r>
        <w:t xml:space="preserve">appeared to stabilize in the NIR, whereas it slightly continued in the green spectral region. At the end of the HW experiment, the</w:t>
      </w:r>
      <w:r>
        <w:t xml:space="preserve"> </w:t>
      </w:r>
      <m:oMath>
        <m:r>
          <m:t>R</m:t>
        </m:r>
        <m:d>
          <m:dPr>
            <m:begChr m:val="("/>
            <m:endChr m:val=")"/>
            <m:sepChr m:val=""/>
            <m:grow/>
          </m:dPr>
          <m:e>
            <m:r>
              <m:t>λ</m:t>
            </m:r>
          </m:e>
        </m:d>
      </m:oMath>
      <w:r>
        <w:t xml:space="preserve"> </w:t>
      </w:r>
      <w:r>
        <w:t xml:space="preserve">valley around 665 nm was also less pronounced, suggesting a decrease of chlorophyll-a concentration.</w:t>
      </w:r>
    </w:p>
    <w:tbl>
      <w:tblPr>
        <w:tblStyle w:val="Table"/>
        <w:tblW w:type="pct" w:w="5000"/>
        <w:tblLayout w:type="fixed"/>
        <w:tblLook w:firstRow="0" w:lastRow="0" w:firstColumn="0" w:lastColumn="0" w:noHBand="0" w:noVBand="0" w:val="0000"/>
      </w:tblPr>
      <w:tblGrid>
        <w:gridCol w:w="7920"/>
      </w:tblGrid>
      <w:tr>
        <w:tc>
          <w:tcPr/>
          <w:bookmarkStart w:id="418" w:name="fig-Exp_Spectra_h"/>
          <w:p>
            <w:pPr>
              <w:pStyle w:val="Compact"/>
              <w:jc w:val="center"/>
            </w:pPr>
            <w:r>
              <w:drawing>
                <wp:inline>
                  <wp:extent cx="5646420" cy="2823210"/>
                  <wp:effectExtent b="0" l="0" r="0" t="0"/>
                  <wp:docPr descr="" title="" id="416" name="Picture"/>
                  <a:graphic>
                    <a:graphicData uri="http://schemas.openxmlformats.org/drawingml/2006/picture">
                      <pic:pic>
                        <pic:nvPicPr>
                          <pic:cNvPr descr="Chapter5/Figs/plot_Spectra_exp.png" id="417" name="Picture"/>
                          <pic:cNvPicPr>
                            <a:picLocks noChangeArrowheads="1" noChangeAspect="1"/>
                          </pic:cNvPicPr>
                        </pic:nvPicPr>
                        <pic:blipFill>
                          <a:blip r:embed="rId415"/>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of</w:t>
            </w:r>
            <w:r>
              <w:t xml:space="preserve"> </w:t>
            </w:r>
            <w:r>
              <w:rPr>
                <w:i/>
                <w:iCs/>
              </w:rPr>
              <w:t xml:space="preserve">Z. noltei</w:t>
            </w:r>
            <w:r>
              <w:t xml:space="preserve"> </w:t>
            </w:r>
            <w:r>
              <w:t xml:space="preserve">leaves during the HW experiment, showing the Control (Left) and Treatment (Right) measurements. The color indicates the progression along the experiment from the beginning (Day 1: Green), middle (Day 2: Yellow) and end (Day 3: Brown). A min-max standardization was applied to each individual spectrum.</w:t>
            </w:r>
          </w:p>
          <w:bookmarkEnd w:id="418"/>
        </w:tc>
      </w:tr>
    </w:tbl>
    <w:bookmarkEnd w:id="419"/>
    <w:bookmarkStart w:id="428" w:name="heatwave-effect-on-radiometric-indices"/>
    <w:p>
      <w:pPr>
        <w:pStyle w:val="Heading4"/>
      </w:pPr>
      <w:r>
        <w:t xml:space="preserve">5.3.1.2 Heatwave effect on radiometric indices</w:t>
      </w:r>
    </w:p>
    <w:p>
      <w:pPr>
        <w:pStyle w:val="FirstParagraph"/>
      </w:pPr>
      <w:r>
        <w:t xml:space="preserve">All radiometric indices,</w:t>
      </w:r>
      <w:r>
        <w:t xml:space="preserve"> </w:t>
      </w:r>
      <m:oMath>
        <m:r>
          <m:t>R</m:t>
        </m:r>
        <m:sSub>
          <m:e>
            <m:r>
              <m:rPr>
                <m:sty m:val="p"/>
              </m:rPr>
              <m:t>″</m:t>
            </m:r>
          </m:e>
          <m:sub>
            <m:r>
              <m:t>665</m:t>
            </m:r>
            <m:r>
              <m:t> </m:t>
            </m:r>
            <m:r>
              <m:rPr>
                <m:nor/>
                <m:sty m:val="p"/>
              </m:rPr>
              <m:t>nm</m:t>
            </m:r>
          </m:sub>
        </m:sSub>
      </m:oMath>
      <w:r>
        <w:t xml:space="preserve">, NDVI, GLI and SHSI changed after the experimental heatwave (</w:t>
      </w:r>
      <w:hyperlink w:anchor="fig-Exp_Spectral_indices_h">
        <w:r>
          <w:rPr>
            <w:rStyle w:val="Hyperlink"/>
          </w:rPr>
          <w:t xml:space="preserve">Figure 5.7</w:t>
        </w:r>
      </w:hyperlink>
      <w:r>
        <w:t xml:space="preserve"> </w:t>
      </w:r>
      <w:r>
        <w:t xml:space="preserve">;</w:t>
      </w:r>
      <w:r>
        <w:t xml:space="preserve"> </w:t>
      </w:r>
      <w:hyperlink w:anchor="sec-AnnexeB_h">
        <w:r>
          <w:rPr>
            <w:rStyle w:val="Hyperlink"/>
          </w:rPr>
          <w:t xml:space="preserve">Section 5.6.2</w:t>
        </w:r>
      </w:hyperlink>
      <w:r>
        <w:t xml:space="preserve">).</w:t>
      </w:r>
    </w:p>
    <w:p>
      <w:pPr>
        <w:pStyle w:val="BodyText"/>
      </w:pPr>
      <w:r>
        <w:t xml:space="preserve">At the start of the experiment (day 1), there was no notable difference in</w:t>
      </w:r>
      <w:r>
        <w:t xml:space="preserve"> </w:t>
      </w:r>
      <m:oMath>
        <m:r>
          <m:t>R</m:t>
        </m:r>
        <m:sSub>
          <m:e>
            <m:r>
              <m:rPr>
                <m:sty m:val="p"/>
              </m:rPr>
              <m:t>″</m:t>
            </m:r>
          </m:e>
          <m:sub>
            <m:r>
              <m:t>665</m:t>
            </m:r>
            <m:r>
              <m:t> </m:t>
            </m:r>
            <m:r>
              <m:rPr>
                <m:nor/>
                <m:sty m:val="p"/>
              </m:rPr>
              <m:t>nm</m:t>
            </m:r>
          </m:sub>
        </m:sSub>
      </m:oMath>
      <w:r>
        <w:t xml:space="preserve">, NDVI and GLI between the Treatment and Control groups (</w:t>
      </w:r>
      <w:hyperlink w:anchor="fig-Exp_Spectral_indices_h">
        <w:r>
          <w:rPr>
            <w:rStyle w:val="Hyperlink"/>
          </w:rPr>
          <w:t xml:space="preserve">Figure 5.7</w:t>
        </w:r>
      </w:hyperlink>
      <w:r>
        <w:t xml:space="preserve"> </w:t>
      </w:r>
      <w:r>
        <w:t xml:space="preserve">A, B &amp; C, Annex B). During days 2 and 3 the radiometric indices all decreased significantly, with an overall decline of 68 %, 31 % and 54 % for</w:t>
      </w:r>
      <w:r>
        <w:t xml:space="preserve"> </w:t>
      </w:r>
      <m:oMath>
        <m:r>
          <m:t>R</m:t>
        </m:r>
        <m:sSub>
          <m:e>
            <m:r>
              <m:rPr>
                <m:sty m:val="p"/>
              </m:rPr>
              <m:t>″</m:t>
            </m:r>
          </m:e>
          <m:sub>
            <m:r>
              <m:t>665</m:t>
            </m:r>
            <m:r>
              <m:t> </m:t>
            </m:r>
            <m:r>
              <m:rPr>
                <m:nor/>
                <m:sty m:val="p"/>
              </m:rPr>
              <m:t>nm</m:t>
            </m:r>
          </m:sub>
        </m:sSub>
      </m:oMath>
      <w:r>
        <w:t xml:space="preserve">, NDVI and GLI.</w:t>
      </w:r>
    </w:p>
    <w:p>
      <w:pPr>
        <w:pStyle w:val="BodyText"/>
      </w:pPr>
      <w:r>
        <w:t xml:space="preserve">Unlike the other metrics, the SHSI of the Treatment was on average 55 % higher than that of the Control in day 1 (</w:t>
      </w:r>
      <w:hyperlink w:anchor="fig-Exp_Spectral_indices_h">
        <w:r>
          <w:rPr>
            <w:rStyle w:val="Hyperlink"/>
          </w:rPr>
          <w:t xml:space="preserve">Figure 5.7</w:t>
        </w:r>
      </w:hyperlink>
      <w:r>
        <w:t xml:space="preserve"> </w:t>
      </w:r>
      <w:r>
        <w:t xml:space="preserve">D). By day 2, the SHSI exhibited a rapid increase of approximately 241 %, eventually reaching an overall rise of 420 % by day 3.</w:t>
      </w:r>
    </w:p>
    <w:p>
      <w:pPr>
        <w:pStyle w:val="BodyText"/>
      </w:pPr>
      <w:r>
        <w:t xml:space="preserve">With a maximum deviation of 420 %, SHSI emerges as the most sensitive index for detecting seagrass browning. Consequently, only this index was considered for the next steps of the study.</w:t>
      </w:r>
    </w:p>
    <w:tbl>
      <w:tblPr>
        <w:tblStyle w:val="Table"/>
        <w:tblW w:type="pct" w:w="5000"/>
        <w:tblLayout w:type="fixed"/>
        <w:tblLook w:firstRow="0" w:lastRow="0" w:firstColumn="0" w:lastColumn="0" w:noHBand="0" w:noVBand="0" w:val="0000"/>
      </w:tblPr>
      <w:tblGrid>
        <w:gridCol w:w="7920"/>
      </w:tblGrid>
      <w:tr>
        <w:tc>
          <w:tcPr/>
          <w:bookmarkStart w:id="423" w:name="fig-Exp_Spectral_indices_h"/>
          <w:p>
            <w:pPr>
              <w:pStyle w:val="Compact"/>
              <w:jc w:val="center"/>
            </w:pPr>
            <w:r>
              <w:drawing>
                <wp:inline>
                  <wp:extent cx="5646420" cy="5646420"/>
                  <wp:effectExtent b="0" l="0" r="0" t="0"/>
                  <wp:docPr descr="" title="" id="421" name="Picture"/>
                  <a:graphic>
                    <a:graphicData uri="http://schemas.openxmlformats.org/drawingml/2006/picture">
                      <pic:pic>
                        <pic:nvPicPr>
                          <pic:cNvPr descr="Chapter5/Figs/merged_indices.png" id="422" name="Picture"/>
                          <pic:cNvPicPr>
                            <a:picLocks noChangeArrowheads="1" noChangeAspect="1"/>
                          </pic:cNvPicPr>
                        </pic:nvPicPr>
                        <pic:blipFill>
                          <a:blip r:embed="rId420"/>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between the Treatment and the Control over time for A) the second derivative at 665 nm B) the NDVI C) the GLI and D) the SHSI. Points indicate raw data, the line represents a GLM estimates, while the shaded area is the model’s 89 % confidence interval. The dashed lines represent no difference between the Control and the Treatment.</w:t>
            </w:r>
          </w:p>
          <w:bookmarkEnd w:id="423"/>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On day 1, the SHSI of the Control and Treatment groups were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 A negative SHSI was considered indicative of non-impacted seagrasses, while a positive SHSI was used as a marker for impacted seagrasses.</w:t>
      </w:r>
    </w:p>
    <w:tbl>
      <w:tblPr>
        <w:tblStyle w:val="Table"/>
        <w:tblW w:type="pct" w:w="5000"/>
        <w:tblLayout w:type="fixed"/>
        <w:tblLook w:firstRow="0" w:lastRow="0" w:firstColumn="0" w:lastColumn="0" w:noHBand="0" w:noVBand="0" w:val="0000"/>
      </w:tblPr>
      <w:tblGrid>
        <w:gridCol w:w="7920"/>
      </w:tblGrid>
      <w:tr>
        <w:tc>
          <w:tcPr/>
          <w:bookmarkStart w:id="427" w:name="fig-SDI_over_Time_h"/>
          <w:p>
            <w:pPr>
              <w:pStyle w:val="Compact"/>
              <w:jc w:val="center"/>
            </w:pPr>
            <w:r>
              <w:drawing>
                <wp:inline>
                  <wp:extent cx="5646420" cy="3387852"/>
                  <wp:effectExtent b="0" l="0" r="0" t="0"/>
                  <wp:docPr descr="" title="" id="425" name="Picture"/>
                  <a:graphic>
                    <a:graphicData uri="http://schemas.openxmlformats.org/drawingml/2006/picture">
                      <pic:pic>
                        <pic:nvPicPr>
                          <pic:cNvPr descr="Chapter5/Figs/SDI_exp_overtime.png" id="426" name="Picture"/>
                          <pic:cNvPicPr>
                            <a:picLocks noChangeArrowheads="1" noChangeAspect="1"/>
                          </pic:cNvPicPr>
                        </pic:nvPicPr>
                        <pic:blipFill>
                          <a:blip r:embed="rId424"/>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of the SHSI across experimental runs, on each day of the experiment. Error structure represent the 89 % confidence interval (Quantiles 0.055 and 0.945 for lower and upper ribbon, respectively). The green line shows values of the Control group while the orange line indicates values of the Treatment group.</w:t>
            </w:r>
          </w:p>
          <w:bookmarkEnd w:id="427"/>
        </w:tc>
      </w:tr>
    </w:tbl>
    <w:bookmarkEnd w:id="428"/>
    <w:bookmarkEnd w:id="429"/>
    <w:bookmarkStart w:id="448" w:name="X8f6520fb2cd603cd376acac4efc8d29f28e0a7a"/>
    <w:p>
      <w:pPr>
        <w:pStyle w:val="Heading3"/>
      </w:pPr>
      <w:r>
        <w:t xml:space="preserve">5.3.2 HW of September 2021 in Quiberon, South Brittany</w:t>
      </w:r>
    </w:p>
    <w:bookmarkStart w:id="434" w:name="spectral-changes"/>
    <w:p>
      <w:pPr>
        <w:pStyle w:val="Heading4"/>
      </w:pPr>
      <w:r>
        <w:t xml:space="preserve">5.3.2.1 Spectral changes</w:t>
      </w:r>
    </w:p>
    <w:p>
      <w:pPr>
        <w:pStyle w:val="FirstParagraph"/>
      </w:pPr>
      <w:r>
        <w:t xml:space="preserve">Sentinel-2 images acquired the 1st and 6th of September 2021 were analysed to assess the short-term impact of a HW on seagrass leaves in South Brittany, France (</w:t>
      </w:r>
      <w:hyperlink w:anchor="fig-S2_comparison">
        <w:r>
          <w:rPr>
            <w:rStyle w:val="Hyperlink"/>
          </w:rPr>
          <w:t xml:space="preserve">Figure 5.9</w:t>
        </w:r>
      </w:hyperlink>
      <w:r>
        <w:t xml:space="preserve"> </w:t>
      </w:r>
      <w:r>
        <w:t xml:space="preserve">A and C). Both an AHW and a MHW occurred during the 2021 summer, from the 4th to the 7th and from the 3rd to the 8th of September, respectively (</w:t>
      </w:r>
      <w:hyperlink w:anchor="fig-S2_comparison">
        <w:r>
          <w:rPr>
            <w:rStyle w:val="Hyperlink"/>
          </w:rPr>
          <w:t xml:space="preserve">Figure 5.9</w:t>
        </w:r>
      </w:hyperlink>
      <w:r>
        <w:t xml:space="preserve"> </w:t>
      </w:r>
      <w:r>
        <w:t xml:space="preserve">B). Within just a few days, the temperature experienced a sharp increase, from 22.2 to 30.8 °C in air, and from 17.7 to 19.3 °C in water temperature. During this period, the 90th percentile of the air temperatures was 25.3 °C and 18.8 °C for the water temperature. The air temperature anomaly of 9.9°C classified the AHW as a strong event, whereas the 1.7 °C anomaly in water temperature classified the MHW as a moderate event.</w:t>
      </w:r>
    </w:p>
    <w:p>
      <w:pPr>
        <w:pStyle w:val="BodyText"/>
      </w:pPr>
      <w:r>
        <w:t xml:space="preserve">Two days after the start of the AHW, the Sentinel-2 image from the 6th of September revealed patches of brown seagrass in the true-color composition (</w:t>
      </w:r>
      <w:hyperlink w:anchor="fig-S2_comparison">
        <w:r>
          <w:rPr>
            <w:rStyle w:val="Hyperlink"/>
          </w:rPr>
          <w:t xml:space="preserve">Figure 5.9</w:t>
        </w:r>
      </w:hyperlink>
      <w:r>
        <w:t xml:space="preserve"> </w:t>
      </w:r>
      <w:r>
        <w:t xml:space="preserve">C). Such brown patches were absent from the image from the 1st of September, taken before the HW began (</w:t>
      </w:r>
      <w:hyperlink w:anchor="fig-S2_comparison">
        <w:r>
          <w:rPr>
            <w:rStyle w:val="Hyperlink"/>
          </w:rPr>
          <w:t xml:space="preserve">Figure 5.9</w:t>
        </w:r>
      </w:hyperlink>
      <w:r>
        <w:t xml:space="preserve"> </w:t>
      </w:r>
      <w:r>
        <w:t xml:space="preserve">A). Before the HW,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infrared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infrared plateau, which was replaced by a steadily increasing slope up to 940 nm. The darkening of large seagrass patches could also be observed in the true color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33" w:name="fig-S2_comparison"/>
          <w:p>
            <w:pPr>
              <w:pStyle w:val="Compact"/>
              <w:jc w:val="center"/>
            </w:pPr>
            <w:r>
              <w:drawing>
                <wp:inline>
                  <wp:extent cx="5646420" cy="5268455"/>
                  <wp:effectExtent b="0" l="0" r="0" t="0"/>
                  <wp:docPr descr="" title="" id="431" name="Picture"/>
                  <a:graphic>
                    <a:graphicData uri="http://schemas.openxmlformats.org/drawingml/2006/picture">
                      <pic:pic>
                        <pic:nvPicPr>
                          <pic:cNvPr descr="Chapter5/Figs/Heatwaves_S2_plot.png" id="432" name="Picture"/>
                          <pic:cNvPicPr>
                            <a:picLocks noChangeArrowheads="1" noChangeAspect="1"/>
                          </pic:cNvPicPr>
                        </pic:nvPicPr>
                        <pic:blipFill>
                          <a:blip r:embed="rId430"/>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color composition of the Sentinel-2 image of the 1st of September 2021 before the HW; C: RGB color composition of the Sentinel-2 image of the 6th of September 2021 on the second day of a strong AHW. The circles correspond to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atmospherical in red). The two vertical dashed lines represent the acquisition dates of the two Sentinel-2 images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33"/>
        </w:tc>
      </w:tr>
    </w:tbl>
    <w:bookmarkEnd w:id="434"/>
    <w:bookmarkStart w:id="447" w:name="shsi-metric-applied-to-sentinel-2"/>
    <w:p>
      <w:pPr>
        <w:pStyle w:val="Heading4"/>
      </w:pPr>
      <w:r>
        <w:t xml:space="preserve">5.3.2.2 SHSI metric applied to Sentinel-2</w:t>
      </w:r>
    </w:p>
    <w:p>
      <w:pPr>
        <w:pStyle w:val="FirstParagraph"/>
      </w:pPr>
      <w:r>
        <w:t xml:space="preserve">Using Sentinel-2 data and the QPs, SHSI of green seagrass areas that appeared unimpacted by the HW (Unimpacted QPs ;</w:t>
      </w:r>
      <w:r>
        <w:t xml:space="preserve"> </w:t>
      </w:r>
      <w:hyperlink w:anchor="fig-S2_comparison">
        <w:r>
          <w:rPr>
            <w:rStyle w:val="Hyperlink"/>
          </w:rPr>
          <w:t xml:space="preserve">Figure 5.9</w:t>
        </w:r>
      </w:hyperlink>
      <w:r>
        <w:t xml:space="preserve"> </w:t>
      </w:r>
      <w:r>
        <w:t xml:space="preserve">C), showed minimal change between 1st and 6th of September (3 % ;</w:t>
      </w:r>
      <w:r>
        <w:t xml:space="preserve"> </w:t>
      </w:r>
      <w:hyperlink w:anchor="fig-NDVI_GLI_SPC">
        <w:r>
          <w:rPr>
            <w:rStyle w:val="Hyperlink"/>
          </w:rPr>
          <w:t xml:space="preserve">Figure 5.10</w:t>
        </w:r>
      </w:hyperlink>
      <w:r>
        <w:t xml:space="preserve">). In contrast, seagrass impacted by the HW that turned brown (Impacted QPs ;</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w:t>
      </w:r>
      <w:r>
        <w:t xml:space="preserve"> </w:t>
      </w:r>
      <w:r>
        <w:t xml:space="preserve">compared to values recorded on the 1st of September</w:t>
      </w:r>
    </w:p>
    <w:p>
      <w:pPr>
        <w:pStyle w:val="BodyText"/>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38" w:name="fig-NDVI_GLI_SPC"/>
          <w:p>
            <w:pPr>
              <w:pStyle w:val="Compact"/>
              <w:jc w:val="center"/>
            </w:pPr>
            <w:r>
              <w:drawing>
                <wp:inline>
                  <wp:extent cx="5646420" cy="2823210"/>
                  <wp:effectExtent b="0" l="0" r="0" t="0"/>
                  <wp:docPr descr="" title="" id="436" name="Picture"/>
                  <a:graphic>
                    <a:graphicData uri="http://schemas.openxmlformats.org/drawingml/2006/picture">
                      <pic:pic>
                        <pic:nvPicPr>
                          <pic:cNvPr descr="Chapter5/Figs/SHSI_S2.png" id="437" name="Picture"/>
                          <pic:cNvPicPr>
                            <a:picLocks noChangeArrowheads="1" noChangeAspect="1"/>
                          </pic:cNvPicPr>
                        </pic:nvPicPr>
                        <pic:blipFill>
                          <a:blip r:embed="rId435"/>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SHSI estimated from Sentinel-2, before (1st of September 2021), during (6th of September 2021) and after (8th of October 2021) a HW in the seagrass meadow of Quiberon (South Brittany, France). The relative SHSI difference was calulated using the 1st of September as a reference. SHSI was calculated for two categories of Quadrat Points (QPs;</w:t>
            </w:r>
            <w:r>
              <w:t xml:space="preserve"> </w:t>
            </w:r>
            <w:hyperlink w:anchor="fig-S2_comparison">
              <w:r>
                <w:rPr>
                  <w:rStyle w:val="Hyperlink"/>
                </w:rPr>
                <w:t xml:space="preserve">Figure 5.9</w:t>
              </w:r>
            </w:hyperlink>
            <w:r>
              <w:t xml:space="preserve">): unimpacted seagrass (green) and impacted seagrass (orange). Points represent the estimated value of the SHSI using a GLM, while the error bar represents the 89% confidence interval.</w:t>
            </w:r>
          </w:p>
          <w:bookmarkEnd w:id="438"/>
        </w:tc>
      </w:tr>
    </w:tbl>
    <w:p>
      <w:pPr>
        <w:pStyle w:val="BodyText"/>
      </w:pPr>
      <w:r>
        <w:t xml:space="preserve">Using the SHSI (</w:t>
      </w:r>
      <w:hyperlink w:anchor="eq-SDI">
        <w:r>
          <w:rPr>
            <w:rStyle w:val="Hyperlink"/>
          </w:rPr>
          <w:t xml:space="preserve">Equation 5.3</w:t>
        </w:r>
      </w:hyperlink>
      <w:r>
        <w:t xml:space="preserve">), we detected large darkened seagrass patches in the meadow on 6th of September (</w:t>
      </w:r>
      <w:hyperlink w:anchor="fig-Map_darkening_Bathy">
        <w:r>
          <w:rPr>
            <w:rStyle w:val="Hyperlink"/>
          </w:rPr>
          <w:t xml:space="preserve">Figure 5.11</w:t>
        </w:r>
      </w:hyperlink>
      <w:r>
        <w:t xml:space="preserve">). A total of 26.9 hectares of seagrass turned brown between 1st and 6th of September. The largest brown patch covered nearly 8 hectares. Overall, 18 % of the total seagrass meadow area showed signs of darkening between 1st and 6th of September. Comparing the spatial distribution of darkened patches with the site’s topography revealed that 94.6 % of darkened areas were located above a bathymetric level of 3.9 meters (</w:t>
      </w:r>
      <w:hyperlink w:anchor="fig-Map_darkening_Bathy">
        <w:r>
          <w:rPr>
            <w:rStyle w:val="Hyperlink"/>
          </w:rPr>
          <w:t xml:space="preserve">Figure 5.11</w:t>
        </w:r>
      </w:hyperlink>
      <w:r>
        <w:t xml:space="preserve">, A and B). One month later, on 8th of October, the previously darkened areas appeared to have regained their green coloration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42" w:name="fig-Map_darkening_Bathy"/>
          <w:p>
            <w:pPr>
              <w:pStyle w:val="Compact"/>
              <w:jc w:val="center"/>
            </w:pPr>
            <w:r>
              <w:drawing>
                <wp:inline>
                  <wp:extent cx="5646420" cy="8478108"/>
                  <wp:effectExtent b="0" l="0" r="0" t="0"/>
                  <wp:docPr descr="" title="" id="440" name="Picture"/>
                  <a:graphic>
                    <a:graphicData uri="http://schemas.openxmlformats.org/drawingml/2006/picture">
                      <pic:pic>
                        <pic:nvPicPr>
                          <pic:cNvPr descr="Chapter5/Figs/SHSI_S2_map.png" id="441" name="Picture"/>
                          <pic:cNvPicPr>
                            <a:picLocks noChangeArrowheads="1" noChangeAspect="1"/>
                          </pic:cNvPicPr>
                        </pic:nvPicPr>
                        <pic:blipFill>
                          <a:blip r:embed="rId439"/>
                          <a:stretch>
                            <a:fillRect/>
                          </a:stretch>
                        </pic:blipFill>
                        <pic:spPr bwMode="auto">
                          <a:xfrm>
                            <a:off x="0" y="0"/>
                            <a:ext cx="5646420" cy="84781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color composition of the seagrass meadow of Quiberon, South Brittany, France, Before (A ; 1st of September 2021), During (C ; 6th of September 2021) and After (D ; 8th of October 2021) the HW and SHSI applied to the same Sentinel-2 images Before (B), During (D) and After (F) the HW.</w:t>
            </w:r>
          </w:p>
          <w:bookmarkEnd w:id="442"/>
        </w:tc>
      </w:tr>
    </w:tbl>
    <w:p>
      <w:pPr>
        <w:pStyle w:val="BodyText"/>
      </w:pPr>
      <w:r>
        <w:t xml:space="preserve">Additionally, there was a clear relationship between seagrass emersion time and seagrass darkening (</w:t>
      </w:r>
      <w:hyperlink w:anchor="fig-GAM_Emersion">
        <w:r>
          <w:rPr>
            <w:rStyle w:val="Hyperlink"/>
          </w:rPr>
          <w:t xml:space="preserve">Figure 5.12</w:t>
        </w:r>
      </w:hyperlink>
      <w:r>
        <w:t xml:space="preserve"> </w:t>
      </w:r>
      <w:r>
        <w:t xml:space="preserve">;</w:t>
      </w:r>
      <w:r>
        <w:t xml:space="preserve"> </w:t>
      </w:r>
      <w:hyperlink w:anchor="sec-AnnexeC_h">
        <w:r>
          <w:rPr>
            <w:rStyle w:val="Hyperlink"/>
          </w:rPr>
          <w:t xml:space="preserve">Section 5.6.3</w:t>
        </w:r>
      </w:hyperlink>
      <w:r>
        <w:t xml:space="preserve">). Seagrass emerged during less than 13 hours a day were not impacted, whereas seagrass emerged during more than 13 hours turned brown with the maximum darkening occurring on seagrass emerged during more than 14.5 hours daily.</w:t>
      </w:r>
    </w:p>
    <w:tbl>
      <w:tblPr>
        <w:tblStyle w:val="Table"/>
        <w:tblW w:type="pct" w:w="5000"/>
        <w:tblLayout w:type="fixed"/>
        <w:tblLook w:firstRow="0" w:lastRow="0" w:firstColumn="0" w:lastColumn="0" w:noHBand="0" w:noVBand="0" w:val="0000"/>
      </w:tblPr>
      <w:tblGrid>
        <w:gridCol w:w="7920"/>
      </w:tblGrid>
      <w:tr>
        <w:tc>
          <w:tcPr/>
          <w:bookmarkStart w:id="446" w:name="fig-GAM_Emersion"/>
          <w:p>
            <w:pPr>
              <w:pStyle w:val="Compact"/>
              <w:jc w:val="center"/>
            </w:pPr>
            <w:r>
              <w:drawing>
                <wp:inline>
                  <wp:extent cx="5646420" cy="2823210"/>
                  <wp:effectExtent b="0" l="0" r="0" t="0"/>
                  <wp:docPr descr="" title="" id="444" name="Picture"/>
                  <a:graphic>
                    <a:graphicData uri="http://schemas.openxmlformats.org/drawingml/2006/picture">
                      <pic:pic>
                        <pic:nvPicPr>
                          <pic:cNvPr descr="Chapter5/Figs/GAM_emersion.png" id="445" name="Picture"/>
                          <pic:cNvPicPr>
                            <a:picLocks noChangeArrowheads="1" noChangeAspect="1"/>
                          </pic:cNvPicPr>
                        </pic:nvPicPr>
                        <pic:blipFill>
                          <a:blip r:embed="rId44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SHSI before and during the HW events as a function of the daily emersion time of seagrass. The line represents a GAM estimate, and the shaded area indicates the standard error. Shaded points represent raw data, each corresponding to a single pixel of the meadow.</w:t>
            </w:r>
          </w:p>
          <w:bookmarkEnd w:id="446"/>
        </w:tc>
      </w:tr>
    </w:tbl>
    <w:bookmarkEnd w:id="447"/>
    <w:bookmarkEnd w:id="448"/>
    <w:bookmarkEnd w:id="449"/>
    <w:bookmarkStart w:id="453" w:name="discussion-3"/>
    <w:p>
      <w:pPr>
        <w:pStyle w:val="Heading2"/>
      </w:pPr>
      <w:r>
        <w:t xml:space="preserve">5.4 Discussion</w:t>
      </w:r>
    </w:p>
    <w:bookmarkStart w:id="450" w:name="Xb7f7f02f8dbcb55c30d8a7e7a31bd5d7dbd38a5"/>
    <w:p>
      <w:pPr>
        <w:pStyle w:val="Heading3"/>
      </w:pPr>
      <w:r>
        <w:t xml:space="preserve">5.4.1 Effect of heatwaves on</w:t>
      </w:r>
      <w:r>
        <w:t xml:space="preserve"> </w:t>
      </w:r>
      <w:r>
        <w:rPr>
          <w:i/>
          <w:iCs/>
        </w:rPr>
        <w:t xml:space="preserve">Zostera noltei</w:t>
      </w:r>
      <w:r>
        <w:t xml:space="preserve"> </w:t>
      </w:r>
      <w:r>
        <w:t xml:space="preserve">reflectance</w:t>
      </w:r>
    </w:p>
    <w:p>
      <w:pPr>
        <w:pStyle w:val="FirstParagraph"/>
      </w:pPr>
      <w:r>
        <w:t xml:space="preserve">This study explored the dual effect of MHWs and AHWs on spectral reflectance of intertidal seagrasses. Significant changes in the reflectance of seagrasses exposed to HWs were observed both in field measurements and the laboratory experiment. Effects were drops of reflectance around 560 nm and around 740 nm (</w:t>
      </w:r>
      <w:hyperlink w:anchor="fig-Exp_Spectral_indices_h">
        <w:r>
          <w:rPr>
            <w:rStyle w:val="Hyperlink"/>
          </w:rPr>
          <w:t xml:space="preserve">Figure 5.7</w:t>
        </w:r>
      </w:hyperlink>
      <w:r>
        <w:t xml:space="preserve">) and of the second derivative at 665 nm (R’’665), NDVI, and GLI (</w:t>
      </w:r>
      <w:hyperlink w:anchor="fig-Exp_Spectral_indices_h">
        <w:r>
          <w:rPr>
            <w:rStyle w:val="Hyperlink"/>
          </w:rPr>
          <w:t xml:space="preserve">Figure 5.7</w:t>
        </w:r>
      </w:hyperlink>
      <w:r>
        <w:t xml:space="preserve"> </w:t>
      </w:r>
      <w:r>
        <w:t xml:space="preserve">A, B &amp; C) indexes. By contrast, SHSI showed a marked increase, reaching up to 600% for some samples by day 3 (</w:t>
      </w:r>
      <w:hyperlink w:anchor="fig-Exp_Spectral_indices_h">
        <w:r>
          <w:rPr>
            <w:rStyle w:val="Hyperlink"/>
          </w:rPr>
          <w:t xml:space="preserve">Figure 5.7</w:t>
        </w:r>
      </w:hyperlink>
      <w:r>
        <w:t xml:space="preserve"> </w:t>
      </w:r>
      <w:r>
        <w:t xml:space="preserve">D), which demonstrated its sensitivity at quantifying seagrass browning. These changes suggest a progressive reduction in photosynthetic activity as well as potential structural or physiological changes to the leaves, such as degraded pigmentation or altered light absorption. Moreover, we observed a considerable decrease in the reflectance in the NIR region (700 - 1300 nm) in stressed plants, which is mainly related with the destruction of the membranes (chloroplasts, thylakoids, cell walls) due to thermal oxidative stress, and the consequent decrease of light scattering through the leaf surface</w:t>
      </w:r>
      <w:r>
        <w:t xml:space="preserve"> </w:t>
      </w:r>
      <w:r>
        <w:t xml:space="preserve">(Knipling, 1970)</w:t>
      </w:r>
      <w:r>
        <w:t xml:space="preserve">.</w:t>
      </w:r>
      <w:r>
        <w:t xml:space="preserve"> </w:t>
      </w:r>
      <w:r>
        <w:t xml:space="preserve">The leaf darkening observed in plants subjected to thermal stress was mainly explained by the oxidation of phenolic compounds by the enzyme polyphenol oxidase and with a damage of the photosynthetic apparatus</w:t>
      </w:r>
      <w:r>
        <w:t xml:space="preserve"> </w:t>
      </w:r>
      <w:r>
        <w:t xml:space="preserve">(Allakhverdiev et al., 2008)</w:t>
      </w:r>
      <w:r>
        <w:t xml:space="preserve">. High temperatures destabilize chloroplasts membranes, disrupting photosystem II and impairing recovery of photosynthetic function. As chlorophyll-a degrades, the ratio of pigments shifts, with pigments like carotenoids becoming more prominent</w:t>
      </w:r>
      <w:r>
        <w:t xml:space="preserve"> </w:t>
      </w:r>
      <w:r>
        <w:t xml:space="preserve">(Dascaliuc et al., 2007; Jones and Clayton-Greene, 1992)</w:t>
      </w:r>
      <w:r>
        <w:t xml:space="preserve">. These processes can eventually result in growth impairment and plant death.</w:t>
      </w:r>
    </w:p>
    <w:p>
      <w:pPr>
        <w:pStyle w:val="BodyText"/>
      </w:pPr>
      <w:r>
        <w:t xml:space="preserve">The Seagrass Heat Shock Index (</w:t>
      </w:r>
      <w:hyperlink w:anchor="eq-SDI">
        <w:r>
          <w:rPr>
            <w:rStyle w:val="Hyperlink"/>
          </w:rPr>
          <w:t xml:space="preserve">Equation 5.3</w:t>
        </w:r>
      </w:hyperlink>
      <w:r>
        <w:t xml:space="preserve">) developed in this study makes it possible to detect reductions in the green and the Red-Edge regions caused by thermal stress using only three reflectance bands (560 740 and 840 nm). These spectral bands are available in current (i.e. Sentinel-2, Pleiades-Neo, WorldView-3, SkySat, and GeoSat-2) and future multi-spectral missions (i.e. Sentinel-2 Next Generation and Landsat Next), opening new perspectives for the detection and monitoring of heatwave effects on intertidal seagrass. As shown in the next section, SHSI can be used to assess the extent and severity of darkening events across intertidal seagrass meadows from high resolution satellite images.</w:t>
      </w:r>
    </w:p>
    <w:bookmarkEnd w:id="450"/>
    <w:bookmarkStart w:id="451" w:name="X9241c7e1de5a94cee1951b46be3852b40e2741d"/>
    <w:p>
      <w:pPr>
        <w:pStyle w:val="Heading3"/>
      </w:pPr>
      <w:r>
        <w:t xml:space="preserve">5.4.2 Satellite observations of HW effects on intertidal seagrass</w:t>
      </w:r>
    </w:p>
    <w:p>
      <w:pPr>
        <w:pStyle w:val="FirstParagraph"/>
      </w:pPr>
      <w:r>
        <w:t xml:space="preserve">Using our new Seagrass Heat Shock Index, Sentinel-2 images acquired before, during, and after a HW event made it possible to detect seagrass leaf darkening at high spatial resolution, as well as to describe the spatial distribution of the heatwave impact over the whole meadow. The analyse of satellite images in Quiberon Bay during the 2021 HW revealed that most of the meadow darkening took place in the upper intertidal area, where plants were exposed to air for more than 13 hours per day, while no significant browning was observed in the lower intertidal zone. This contrasted with the experiment, in which seagrasses were exposed to a symmetric tidal cycle, spending equal amounts of time submerged and exposed to air. However, in the field, this configuration occurs only in meadows located at hydrographic zero height (mean sea level). Thus, under the same atmospheric temperatures, bathymetry, and therefore, exposure times will modulate the stress effects observed, as seagrasses located lower in the intertidal may be more resistant to HWs than those in upper fringes.</w:t>
      </w:r>
      <w:r>
        <w:t xml:space="preserve"> </w:t>
      </w:r>
      <w:r>
        <w:t xml:space="preserve">Field observations further revealed that leaf detachment began after the heatwave, causing an apparent decline in seagrass density at the upper intertidal.</w:t>
      </w:r>
      <w:r>
        <w:t xml:space="preserve"> </w:t>
      </w:r>
      <w:r>
        <w:rPr>
          <w:i/>
          <w:iCs/>
        </w:rPr>
        <w:t xml:space="preserve">Zostera noltei</w:t>
      </w:r>
      <w:r>
        <w:t xml:space="preserve">, as a species inhabiting the intertidal zone and regularly exposed to air, has developed adaptations to minimize hydric stress, such as its narrow leaves, which help reduce water loss during air exposure periods</w:t>
      </w:r>
      <w:r>
        <w:t xml:space="preserve"> </w:t>
      </w:r>
      <w:r>
        <w:t xml:space="preserve">(Cabaço et al., 2009)</w:t>
      </w:r>
      <w:r>
        <w:t xml:space="preserve">. Nonetheless, if plants at the upper subtidal are exposed to intense heating and irradiance for prolonged periods, these mechanisms may not be able to prevent degradation of photosynthetic pigments, decreases in photosynthetic capacity and tissue degradation.</w:t>
      </w:r>
    </w:p>
    <w:p>
      <w:pPr>
        <w:pStyle w:val="BodyText"/>
      </w:pPr>
      <w:r>
        <w:t xml:space="preserve">During the HW, Sentinel-2 imagery indicated that impacted seagrass patches (i.e., areas exhibiting seagrass darkening) experienced a sharp decline in NDVI. Moreover, the Sentinel-2 image acquired one month after the HW showed that the NDVI of impacted seagrass patches had not recovered to its initial level (</w:t>
      </w:r>
      <w:hyperlink w:anchor="fig-NDVI_GLI_SPC">
        <w:r>
          <w:rPr>
            <w:rStyle w:val="Hyperlink"/>
          </w:rPr>
          <w:t xml:space="preserve">Figure 5.10</w:t>
        </w:r>
      </w:hyperlink>
      <w:r>
        <w:t xml:space="preserve">). NDVI is commonly used as a proxy for seagrass cover</w:t>
      </w:r>
      <w:r>
        <w:t xml:space="preserve"> </w:t>
      </w:r>
      <w:r>
        <w:t xml:space="preserve">(Davies et al., 2024b; Zoffoli et al., 2020)</w:t>
      </w:r>
      <w:r>
        <w:t xml:space="preserve">, with high NDVI associated with greater seagrass coverage and low NDVI indicating reduced cover. Our findings demonstrate that heatwaves altered the spectral signature of seagrasses, causing a decrease in NDVI—and consequently, in the satellite-derived estimate of seagrass cover—while the actual coverage observed in the field remained stable (see</w:t>
      </w:r>
      <w:r>
        <w:t xml:space="preserve"> </w:t>
      </w:r>
      <w:hyperlink w:anchor="fig-QuiberonImg_h">
        <w:r>
          <w:rPr>
            <w:rStyle w:val="Hyperlink"/>
          </w:rPr>
          <w:t xml:space="preserve">Figure 5.5</w:t>
        </w:r>
      </w:hyperlink>
      <w:r>
        <w:t xml:space="preserve">). This discrepancy underscores a potential limitation of remote sensing in accurately capturing true seagrass cover during stress events. We demonstrate that such bias could be corrected by the combined analysis of both NDVI and SHSI indices, as proxies of seagrass cover and heatwave impact.</w:t>
      </w:r>
    </w:p>
    <w:p>
      <w:pPr>
        <w:pStyle w:val="BodyText"/>
      </w:pPr>
      <w:r>
        <w:t xml:space="preserve">One month after the heatwave, the SHSI in impacted quadrats recovered to similar values to those of the unimpacted ones. Moreover, Sentinel-2 images revealed a partial recovery in areas of the mid to low intertidal, as shown by their return to green color. These results suggested a certain the resilience capacity of</w:t>
      </w:r>
      <w:r>
        <w:t xml:space="preserve"> </w:t>
      </w:r>
      <w:r>
        <w:rPr>
          <w:i/>
          <w:iCs/>
        </w:rPr>
        <w:t xml:space="preserve">Z. noltei</w:t>
      </w:r>
      <w:r>
        <w:t xml:space="preserve"> </w:t>
      </w:r>
      <w:r>
        <w:t xml:space="preserve">patches after thermal disturbance.</w:t>
      </w:r>
      <w:r>
        <w:t xml:space="preserve"> </w:t>
      </w:r>
      <w:r>
        <w:rPr>
          <w:i/>
          <w:iCs/>
        </w:rPr>
        <w:t xml:space="preserve">Zostera noltei</w:t>
      </w:r>
      <w:r>
        <w:t xml:space="preserve"> </w:t>
      </w:r>
      <w:r>
        <w:t xml:space="preserve">is a dynamic, fast-growing colonizer species</w:t>
      </w:r>
      <w:r>
        <w:t xml:space="preserve"> </w:t>
      </w:r>
      <w:r>
        <w:t xml:space="preserve">(Roca et al., 2016)</w:t>
      </w:r>
      <w:r>
        <w:t xml:space="preserve">, with fast leaf turnover times and growth rates</w:t>
      </w:r>
      <w:r>
        <w:t xml:space="preserve"> </w:t>
      </w:r>
      <w:r>
        <w:t xml:space="preserve">(Borum et al., 2004)</w:t>
      </w:r>
      <w:r>
        <w:t xml:space="preserve"> </w:t>
      </w:r>
      <w:r>
        <w:t xml:space="preserve">and fast rhizome elongation rates</w:t>
      </w:r>
      <w:r>
        <w:t xml:space="preserve"> </w:t>
      </w:r>
      <w:r>
        <w:t xml:space="preserve">(Duarte, 1991)</w:t>
      </w:r>
      <w:r>
        <w:t xml:space="preserve">. The return to green color in some parts of the meadow after recovery might be due to new leaf growth, which was likely sustained by the energy reserves of the surviving below ground biomass</w:t>
      </w:r>
      <w:r>
        <w:t xml:space="preserve"> </w:t>
      </w:r>
      <w:r>
        <w:t xml:space="preserve">(Hemminga, 1998)</w:t>
      </w:r>
      <w:r>
        <w:t xml:space="preserve">.</w:t>
      </w:r>
    </w:p>
    <w:bookmarkEnd w:id="451"/>
    <w:bookmarkStart w:id="452" w:name="X729e0e9cf0ae04acbfe1544e67ed14357344b2c"/>
    <w:p>
      <w:pPr>
        <w:pStyle w:val="Heading3"/>
      </w:pPr>
      <w:r>
        <w:t xml:space="preserve">5.4.3 Ecological implications of heatwaves impact on</w:t>
      </w:r>
      <w:r>
        <w:t xml:space="preserve"> </w:t>
      </w:r>
      <w:r>
        <w:rPr>
          <w:i/>
          <w:iCs/>
        </w:rPr>
        <w:t xml:space="preserve">Zostera noltei</w:t>
      </w:r>
    </w:p>
    <w:p>
      <w:pPr>
        <w:pStyle w:val="FirstParagraph"/>
      </w:pPr>
      <w:r>
        <w:t xml:space="preserve">In the present study we observed that heatwave-driven thermal stress changed the spectral reflectance of</w:t>
      </w:r>
      <w:r>
        <w:t xml:space="preserve"> </w:t>
      </w:r>
      <w:r>
        <w:rPr>
          <w:i/>
          <w:iCs/>
        </w:rPr>
        <w:t xml:space="preserve">Z. noltei</w:t>
      </w:r>
      <w:r>
        <w:t xml:space="preserve"> </w:t>
      </w:r>
      <w:r>
        <w:t xml:space="preserve">leaves, indicating photosynthetic pigments degradation, with potential negative consequences on health, growth and survival of the above ground biomass. In this sense, previous experiments on the effects of warming on</w:t>
      </w:r>
      <w:r>
        <w:t xml:space="preserve"> </w:t>
      </w:r>
      <w:r>
        <w:rPr>
          <w:i/>
          <w:iCs/>
        </w:rPr>
        <w:t xml:space="preserve">Zostera noltei</w:t>
      </w:r>
      <w:r>
        <w:t xml:space="preserve"> </w:t>
      </w:r>
      <w:r>
        <w:t xml:space="preserve">have shown contrasting results, depending on the duration and intensity of heating. In some cases, there were no significant changes in photosynthetic performance or survival under short-term moderate stress</w:t>
      </w:r>
      <w:r>
        <w:t xml:space="preserve"> </w:t>
      </w:r>
      <w:r>
        <w:t xml:space="preserve">(Franssen et al., 2014)</w:t>
      </w:r>
      <w:r>
        <w:t xml:space="preserve">, or quaunder gradual temperature increases</w:t>
      </w:r>
      <w:r>
        <w:t xml:space="preserve"> </w:t>
      </w:r>
      <w:r>
        <w:t xml:space="preserve">(S. Román et al., 2022)</w:t>
      </w:r>
      <w:r>
        <w:t xml:space="preserve">. By contrast, studies focused on extreme temperature events have evidenced decreases of photosynthetic performance and leaf tissue integrity</w:t>
      </w:r>
      <w:r>
        <w:t xml:space="preserve"> </w:t>
      </w:r>
      <w:r>
        <w:t xml:space="preserve">(Massa et al., 2009; M. Román et al., 2023)</w:t>
      </w:r>
      <w:r>
        <w:t xml:space="preserve">. Therefore, our findings, jointly with previous research, suggest that</w:t>
      </w:r>
      <w:r>
        <w:t xml:space="preserve"> </w:t>
      </w:r>
      <w:r>
        <w:rPr>
          <w:i/>
          <w:iCs/>
        </w:rPr>
        <w:t xml:space="preserve">Z. noltei</w:t>
      </w:r>
      <w:r>
        <w:t xml:space="preserve"> </w:t>
      </w:r>
      <w:r>
        <w:t xml:space="preserve">meadows at the upper intertidal could be a vulnerable species under the future global warming scenarios, in which heatwaves will be more frequent and intense</w:t>
      </w:r>
      <w:r>
        <w:t xml:space="preserve"> </w:t>
      </w:r>
      <w:r>
        <w:t xml:space="preserve">(Climate Change (IPCC), 2023; Stillman, 2019)</w:t>
      </w:r>
      <w:r>
        <w:t xml:space="preserve">.</w:t>
      </w:r>
    </w:p>
    <w:p>
      <w:pPr>
        <w:pStyle w:val="BodyText"/>
      </w:pPr>
      <w:r>
        <w:t xml:space="preserve">The observed tissue degradation, both in the laboratory experiment and the field, can eventually result in decreases of meadows density and cover under recurrent heatwaves. This decline could have cascading effect on species that rely on the provision of refuge and/or food by the seagrass canopy</w:t>
      </w:r>
      <w:r>
        <w:t xml:space="preserve"> </w:t>
      </w:r>
      <w:r>
        <w:t xml:space="preserve">(Zoffoli et al., 2023)</w:t>
      </w:r>
      <w:r>
        <w:t xml:space="preserve">. Commercially important fish and shellfish populations that rely on seagrass for sustenance and refuge could also be impacted, with negative consequences on local fisheries’ productivity and the livelihoods of coastal communities</w:t>
      </w:r>
      <w:r>
        <w:t xml:space="preserve"> </w:t>
      </w:r>
      <w:r>
        <w:t xml:space="preserve">(Unsworth and Cullen-Unsworth, 2014)</w:t>
      </w:r>
      <w:r>
        <w:t xml:space="preserve">. Furthermore, as seagrass meadows decline, their capacity to act as a blue carbon sink—critical for climate mitigation—could diminish, contributing to increased atmospheric carbon levels</w:t>
      </w:r>
      <w:r>
        <w:t xml:space="preserve"> </w:t>
      </w:r>
      <w:r>
        <w:t xml:space="preserve">(Armitage and Fourqurean, 2016; Samper-Villarreal et al., 2020)</w:t>
      </w:r>
      <w:r>
        <w:t xml:space="preserve">. Moreover, the sediment stabilization and wave attenuation could be hampered, ultimately increasing the risk of coastal erosion</w:t>
      </w:r>
      <w:r>
        <w:t xml:space="preserve"> </w:t>
      </w:r>
      <w:r>
        <w:t xml:space="preserve">(Calleja et al., 2007; Folmer et al., 2012; Gacia et al., 1999)</w:t>
      </w:r>
      <w:r>
        <w:t xml:space="preserve">.</w:t>
      </w:r>
    </w:p>
    <w:p>
      <w:pPr>
        <w:pStyle w:val="BodyText"/>
      </w:pPr>
      <w:r>
        <w:t xml:space="preserve">Given the combined effects of temperature extremes, eutrophication, and other anthropogenic pressures,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w:t>
      </w:r>
    </w:p>
    <w:bookmarkEnd w:id="452"/>
    <w:bookmarkEnd w:id="453"/>
    <w:bookmarkStart w:id="454" w:name="conclusion-2"/>
    <w:p>
      <w:pPr>
        <w:pStyle w:val="Heading2"/>
      </w:pPr>
      <w:r>
        <w:t xml:space="preserve">5.5 Conclusion</w:t>
      </w:r>
    </w:p>
    <w:p>
      <w:pPr>
        <w:pStyle w:val="FirstParagraph"/>
      </w:pPr>
      <w:r>
        <w:t xml:space="preserve">This research investigated the effects of both marine and atmospheric heatwaves on the intertidal seagrass</w:t>
      </w:r>
      <w:r>
        <w:t xml:space="preserve"> </w:t>
      </w:r>
      <w:r>
        <w:rPr>
          <w:i/>
          <w:iCs/>
        </w:rPr>
        <w:t xml:space="preserve">Zostera noltei</w:t>
      </w:r>
      <w:r>
        <w:t xml:space="preserve">, a critical component of coastal ecosystems facing increased thermal stress due to climate change. Heat stress effects on seagrass reflectance were documented in the laboratory using a controlled experiment in order to understand how extreme heat events affect seagrass health and to assess the potential of remote sensing for HW impacts monitoring. Our findings revealed that heatwaves lead to substantial declines in seagrass reflectance, particularly in the green and near-infrared regions, likely driven by pigment degradation and structural damage. This change was reflected in significant reductions in key vegetation indices such as NDVI and GLI. The Seagrass Heat Shock Index (SHSI), developed in this study, successfully detected seagrass darkening, a visible symptom of heatwave stress, demonstrating the viability of spectral monitoring to capture early-stage impacts of heat events on intertidal ecosystems. We applied and validated the newly developed Seagrass Heat Shock Index to Sentinel-2 satellite images acquired during an heatwave event, and documented the broad spatial impact of heatwaves on seagrass meadows in Quiberon Bay, France. The correlation between heatwave exposure and darkening of seagrass suggests that remote sensing, combined with targeted field observations, can enhance our understanding of ecosystem responses to climate-driven thermal events. These results advocate for integrating regular spectral monitoring into conservation strategies, as it can help predict seagrass resilience and guide adaptive management practices. Future work should focus on refining remote sensing tools and examining the cumulative effects of repeated heatwave events to support the conservation of intertidal seagrass meadows in a warming world.</w:t>
      </w:r>
    </w:p>
    <w:p>
      <w:r>
        <w:br w:type="page"/>
      </w:r>
    </w:p>
    <w:bookmarkEnd w:id="454"/>
    <w:bookmarkStart w:id="464" w:name="annexes-1"/>
    <w:p>
      <w:pPr>
        <w:pStyle w:val="Heading2"/>
      </w:pPr>
      <w:r>
        <w:t xml:space="preserve">5.6 Annexes</w:t>
      </w:r>
    </w:p>
    <w:bookmarkStart w:id="459"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58" w:name="fig-temperatureAnnexe"/>
          <w:p>
            <w:pPr>
              <w:pStyle w:val="Compact"/>
              <w:jc w:val="center"/>
            </w:pPr>
            <w:r>
              <w:drawing>
                <wp:inline>
                  <wp:extent cx="4754880" cy="4754880"/>
                  <wp:effectExtent b="0" l="0" r="0" t="0"/>
                  <wp:docPr descr="" title="" id="456" name="Picture"/>
                  <a:graphic>
                    <a:graphicData uri="http://schemas.openxmlformats.org/drawingml/2006/picture">
                      <pic:pic>
                        <pic:nvPicPr>
                          <pic:cNvPr descr="Chapter5/Figs/Temperature_compare.png" id="457" name="Picture"/>
                          <pic:cNvPicPr>
                            <a:picLocks noChangeArrowheads="1" noChangeAspect="1"/>
                          </pic:cNvPicPr>
                        </pic:nvPicPr>
                        <pic:blipFill>
                          <a:blip r:embed="rId455"/>
                          <a:stretch>
                            <a:fillRect/>
                          </a:stretch>
                        </pic:blipFill>
                        <pic:spPr bwMode="auto">
                          <a:xfrm>
                            <a:off x="0" y="0"/>
                            <a:ext cx="475488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58"/>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HW temperatures measured by Meteo France to better reflect the conditions experienced by the seagrasses.</w:t>
      </w:r>
    </w:p>
    <w:p>
      <w:r>
        <w:br w:type="page"/>
      </w:r>
    </w:p>
    <w:bookmarkEnd w:id="459"/>
    <w:bookmarkStart w:id="461" w:name="sec-AnnexeB_h"/>
    <w:p>
      <w:pPr>
        <w:pStyle w:val="Heading3"/>
      </w:pPr>
      <w:r>
        <w:t xml:space="preserve">5.6.2 Annexes B - Outputs of GLMM</w:t>
      </w:r>
    </w:p>
    <w:tbl>
      <w:tblPr>
        <w:tblStyle w:val="Table"/>
        <w:tblW w:type="pct" w:w="5000"/>
        <w:tblLayout w:type="fixed"/>
        <w:tblLook w:firstRow="0" w:lastRow="0" w:firstColumn="0" w:lastColumn="0" w:noHBand="0" w:noVBand="0" w:val="0000"/>
      </w:tblPr>
      <w:tblGrid>
        <w:gridCol w:w="7920"/>
      </w:tblGrid>
      <w:tr>
        <w:tc>
          <w:tcPr/>
          <w:bookmarkStart w:id="460" w:name="tbl-GLMM"/>
          <w:p>
            <w:pPr>
              <w:jc w:val="center"/>
            </w:pPr>
            <w:pPr>
              <w:jc w:val="start"/>
              <w:spacing w:before="200"/>
              <w:pStyle w:val="ImageCaption"/>
            </w:pPr>
            <w:r>
              <w:t xml:space="preserve">Table 5.1: Annex 5.2 - Outputs of the Generalised Linear mixed effects model assessing the relationship between time of heatwave (days) and the relative change to the control of different vegetation indices (</w:t>
            </w:r>
            <w:hyperlink w:anchor="fig-Exp_Spectral_indices_h">
              <w:r>
                <w:rPr>
                  <w:rStyle w:val="Hyperlink"/>
                </w:rPr>
                <w:t xml:space="preserve">Figure 5.7</w:t>
              </w:r>
            </w:hyperlink>
            <w:r>
              <w:t xml:space="preserve">, Second Derivative, NDVI, GLI, and SHSI). Each index has two terms: Intercept and Slope. The Intercept represents the expected value of the index at the reference time point (e.g., day 0), while the Slope quantifies the effect of time of heatwave, indicating how the index changes per unit increase in days. The Estimate represents the posterior mean of the regression coefficient, while Std. Error indicates its standard deviation. The Lower 95% CI and Upper 95% CI define the 95% credible interval, showing the range within which the true parameter is expected to fall with 95% probability. The Rhat statistic assesses model convergence (values close to 1 indicate proper convergence). Bulk_ESS and Tail_ESS denote the effective sample sizes for bulk estimation and tail uncertainty, respectively, reflecting the reliability of the posterior estimates.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750"/>
              <w:tblLook w:firstRow="1" w:lastRow="0" w:firstColumn="0" w:lastColumn="0" w:noHBand="0" w:noVBand="1"/>
            </w:tblPr>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Index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Lower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Upper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Tail_ESS</w:t>
                  </w:r>
                </w:p>
              </w:tc>
            </w:tr>
            <w:tr>
              <w:trPr>
                <w:trHeight w:val="612"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Second Derivative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5,296.50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3,668.84</w:t>
                  </w:r>
                </w:p>
              </w:tc>
            </w:tr>
            <w:tr>
              <w:trPr>
                <w:trHeight w:val="615"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31,580.27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12,321.97</w:t>
                  </w:r>
                </w:p>
              </w:tc>
            </w:tr>
            <w:tr>
              <w:trPr>
                <w:trHeight w:val="612" w:hRule="auto"/>
              </w:trPr>
              body3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NDVI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3,436.59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2,239.77</w:t>
                  </w:r>
                </w:p>
              </w:tc>
            </w:tr>
            <w:tr>
              <w:trPr>
                <w:trHeight w:val="615" w:hRule="auto"/>
              </w:trPr>
              body4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32,903.97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13,585.03</w:t>
                  </w:r>
                </w:p>
              </w:tc>
            </w:tr>
            <w:tr>
              <w:trPr>
                <w:trHeight w:val="612" w:hRule="auto"/>
              </w:trPr>
              body5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GLI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3,953.87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2,318.63</w:t>
                  </w:r>
                </w:p>
              </w:tc>
            </w:tr>
            <w:tr>
              <w:trPr>
                <w:trHeight w:val="615" w:hRule="auto"/>
              </w:trPr>
              body6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27,154.17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13,247.23</w:t>
                  </w:r>
                </w:p>
              </w:tc>
            </w:tr>
            <w:tr>
              <w:trPr>
                <w:trHeight w:val="612" w:hRule="auto"/>
              </w:trPr>
              body7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SHSI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7,862.03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8,468.20</w:t>
                  </w:r>
                </w:p>
              </w:tc>
            </w:tr>
            <w:tr>
              <w:trPr>
                <w:trHeight w:val="615" w:hRule="auto"/>
              </w:trPr>
              body8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Slope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24,434.98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13,093.41</w:t>
                  </w:r>
                </w:p>
              </w:tc>
            </w:tr>
          </w:tbl>
          <w:bookmarkEnd w:id="460"/>
        </w:tc>
      </w:tr>
    </w:tbl>
    <w:p>
      <w:r>
        <w:br w:type="page"/>
      </w:r>
    </w:p>
    <w:bookmarkEnd w:id="461"/>
    <w:bookmarkStart w:id="463" w:name="sec-AnnexeC_h"/>
    <w:p>
      <w:pPr>
        <w:pStyle w:val="Heading3"/>
      </w:pPr>
      <w:r>
        <w:t xml:space="preserve">5.6.3 Annexes C - Outputs of GAM</w:t>
      </w:r>
    </w:p>
    <w:tbl>
      <w:tblPr>
        <w:tblStyle w:val="Table"/>
        <w:tblW w:type="pct" w:w="5000"/>
        <w:tblLayout w:type="fixed"/>
        <w:tblLook w:firstRow="0" w:lastRow="0" w:firstColumn="0" w:lastColumn="0" w:noHBand="0" w:noVBand="0" w:val="0000"/>
      </w:tblPr>
      <w:tblGrid>
        <w:gridCol w:w="7920"/>
      </w:tblGrid>
      <w:tr>
        <w:tc>
          <w:tcPr/>
          <w:bookmarkStart w:id="462" w:name="tbl-GAM"/>
          <w:p>
            <w:pPr>
              <w:jc w:val="center"/>
            </w:pPr>
            <w:pPr>
              <w:jc w:val="start"/>
              <w:spacing w:before="200"/>
              <w:pStyle w:val="ImageCaption"/>
            </w:pPr>
            <w:r>
              <w:t xml:space="preserve">Table 5.2: Annex 5.3 - Outputs of the Generalized Additive Model (GAM) assessing the relationship between emersion time per day (hours) and the relative change in SHSI (</w:t>
            </w:r>
            <w:hyperlink w:anchor="fig-GAM_Emersion">
              <w:r>
                <w:rPr>
                  <w:rStyle w:val="Hyperlink"/>
                </w:rPr>
                <w:t xml:space="preserve">Figure 5.12</w:t>
              </w:r>
            </w:hyperlink>
            <w:r>
              <w:t xml:space="preserve">). The Intercept represents the expected value of the relative change of SHSI at the reference time point, while the s(emersion_per_day) is a function of the effect of emersion time per day on the relative change of SHSI. The Estimate represents the posterior mean of the regression coefficient, while Std. Error indicates its standard deviation. The Lower 95% CI and Upper 95% CI define the 95% credible interval, showing the range within which the true parameter is expected to fall with 95% probability. The Rhat statistic assesses model convergence (values close to 1 indicate proper convergence). Bulk_ESS and Tail_ESS denote the effective sample sizes for bulk estimation and tail uncertainty, respectively, reflecting the reliability of the posterior estimates.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750"/>
              <w:tblLook w:firstRow="1" w:lastRow="0" w:firstColumn="0" w:lastColumn="0" w:noHBand="0" w:noVBand="1"/>
            </w:tblPr>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Lower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Upper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Tail_ESS</w:t>
                  </w:r>
                </w:p>
              </w:tc>
            </w:tr>
            <w:tr>
              <w:trPr>
                <w:trHeight w:val="612"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0.48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11,075.03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10,478.49</w:t>
                  </w:r>
                </w:p>
              </w:tc>
            </w:tr>
            <w:tr>
              <w:trPr>
                <w:trHeight w:val="615"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6"/>
                      <w:szCs w:val="16"/>
                      <w:color w:val="000000"/>
                    </w:rPr>
                    <w:t xml:space="preserve">semersion_per_day_1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3,143.78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5,830.38</w:t>
                  </w:r>
                </w:p>
              </w:tc>
            </w:tr>
          </w:tbl>
          <w:bookmarkEnd w:id="462"/>
        </w:tc>
      </w:tr>
    </w:tbl>
    <w:bookmarkEnd w:id="463"/>
    <w:bookmarkEnd w:id="464"/>
    <w:bookmarkEnd w:id="465"/>
    <w:bookmarkStart w:id="491"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RS for mapping soft-bottom intertidal vegetation at multispectral resolution, (2) develop machine learning algorithms for accurate vegetation classification and ecosystem monitoring, and (3) apply the methodology to map invasive species and analyse the effect of heatwaves on seagrass.</w:t>
      </w:r>
      <w:r>
        <w:t xml:space="preserve"> </w:t>
      </w:r>
      <w:r>
        <w:t xml:space="preserve">This work underscores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remote sensing in obtaining explicit spatial distribution maps of the main taxonomic units of intertidal vegetation. Integrating ground-based, drone, and satellite observations proved pivotal in bridging spatial and temporal gaps, enabling a more comprehensive understanding of ecosystem structure and dynamics.</w:t>
      </w:r>
      <w:r>
        <w:t xml:space="preserve"> </w:t>
      </w:r>
      <w:r>
        <w:t xml:space="preserve">This concluding section reviews the key scientific advancements made through the application of RS to intertidal ecosystems, the challenges encountered, and future research directions.</w:t>
      </w:r>
    </w:p>
    <w:bookmarkStart w:id="466" w:name="Xbdb191154a0dc3fe166dbd47a3f72a8cab1bff5"/>
    <w:p>
      <w:pPr>
        <w:pStyle w:val="Heading2"/>
      </w:pPr>
      <w:r>
        <w:t xml:space="preserve">6.1 Macrophytes discrimination and associated challenges.</w:t>
      </w:r>
    </w:p>
    <w:p>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slight variations in the spectral signatures of intertidal green macrophytes enable this discrimination to arise from differences in the proportions in which these pigments are present in each vegetation type.</w:t>
      </w:r>
      <w:r>
        <w:t xml:space="preserve"> </w:t>
      </w:r>
      <w:r>
        <w:t xml:space="preserve">Pigment concentrations and ratios are not static over time following phenological cycles, and are impacted by stress conditions or may not be uniform within a species due to phenotypic variability. The classification method was developed across a wide geographical range, covering spring, summer and early fall conditions, with the initial objective of discriminating among green macrophytes. The Drone Intertidal Substrate Classification of Vegetation (DISCOV) machine-learning algorithm was designed to be dynamic and adaptable, allowing continuous evolution over time. The algorithm is open-source, with its complete code and training/validation dataset openly shared on GitHub (https://github.com/SigOiry/ ;</w:t>
      </w:r>
      <w:r>
        <w:t xml:space="preserve"> </w:t>
      </w:r>
      <w:r>
        <w:t xml:space="preserve">Oiry et al. (2024)</w:t>
      </w:r>
      <w:r>
        <w:t xml:space="preserve">). The Shiny application used to create an independent validation dataset for assessing model performance in Chapter 4 is also openly available (https://oirysimon.shinyapps.io/shiny_validate/). This flexibility proved invaluable when adapting the algorithm to specifically target a species from a different class of intertidal vegetation: the invasive rhodophyte</w:t>
      </w:r>
      <w:r>
        <w:t xml:space="preserve"> </w:t>
      </w:r>
      <w:r>
        <w:rPr>
          <w:i/>
          <w:iCs/>
        </w:rPr>
        <w:t xml:space="preserve">Gracilaria vermiculophylla</w:t>
      </w:r>
      <w:r>
        <w:t xml:space="preserve">.</w:t>
      </w:r>
    </w:p>
    <w:p>
      <w:pPr>
        <w:pStyle w:val="BodyText"/>
      </w:pPr>
      <w:r>
        <w:t xml:space="preserve">Interestingly, DISCOV v1.0 exhibited poor performance in identifying this red macroalgae, despite its distinct and unique spectral signature attributed to the presence of phycocyanin and phycoerythrin. The algorithm’s underperformance was traced to the lack of enough samples of the rhodophyta phylum in the original training dataset, confusing with other taxonomic units when encountering this specific spectral signature during prediction. This issue was resolved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66"/>
    <w:bookmarkStart w:id="475" w:name="X47a2eca26fe738978312685d346fac0615f25c5"/>
    <w:p>
      <w:pPr>
        <w:pStyle w:val="Heading2"/>
      </w:pPr>
      <w:r>
        <w:t xml:space="preserve">6.2 Drone technologies for coastal monitoring</w:t>
      </w:r>
    </w:p>
    <w:p>
      <w:pPr>
        <w:pStyle w:val="FirstParagraph"/>
      </w:pPr>
      <w:r>
        <w:t xml:space="preserve">Unmanned Aerial Vehicles (UAVs) have become valuable tools in coastal monitoring, offering high-resolution spatial data and flexible deployment across diverse environments. Their capacity to capture fine-scale habitat heterogeneity and track rapid environmental changes has significantly improved our ability to monitor intertidal and nearshore ecosystems. UAVs now complement traditional remote sensing approaches by addressing observational gaps, particularly in areas where satellite data are limited by cloud cover, tidal constraints, or coarse spatial resolution. Their applications range from shoreline erosion assessment to habitat mapping and water quality monitoring, and they are increasingly integrated into coastal management.</w:t>
      </w:r>
    </w:p>
    <w:p>
      <w:pPr>
        <w:pStyle w:val="BodyText"/>
      </w:pPr>
      <w:r>
        <w:t xml:space="preserve">For example the potential of UAVs for monitoring aquaculture systems has been recently demonstrated. I contributed to the work of</w:t>
      </w:r>
      <w:r>
        <w:t xml:space="preserve"> </w:t>
      </w:r>
      <w:r>
        <w:t xml:space="preserve">Nurdin et al. (2023)</w:t>
      </w:r>
      <w:r>
        <w:t xml:space="preserve"> </w:t>
      </w:r>
      <w:r>
        <w:t xml:space="preserve">where UAV-based multispectral imaging was combined with machine learning to estimate biomass and carrageenan content in</w:t>
      </w:r>
      <w:r>
        <w:t xml:space="preserve"> </w:t>
      </w:r>
      <w:r>
        <w:rPr>
          <w:i/>
          <w:iCs/>
        </w:rPr>
        <w:t xml:space="preserve">Kappaphycus alvarezii</w:t>
      </w:r>
      <w:r>
        <w:t xml:space="preserve"> </w:t>
      </w:r>
      <w:r>
        <w:t xml:space="preserve">seaweed farms in Indonesia. Using a Random Forest classifier, they identified culture lines on drone images acquired on culture plots, and then assessed the fresh weight and Carrageenan content (</w:t>
      </w:r>
      <w:hyperlink w:anchor="fig-Mapping_kappa">
        <w:r>
          <w:rPr>
            <w:rStyle w:val="Hyperlink"/>
          </w:rPr>
          <w:t xml:space="preserve">Figure 6.1</w:t>
        </w:r>
      </w:hyperlink>
      <w:r>
        <w:t xml:space="preserve">) of cultivated algae. This automated approach provided accurate stock assessments, reducing reliance on labor-intensive field surveys.</w:t>
      </w:r>
    </w:p>
    <w:tbl>
      <w:tblPr>
        <w:tblStyle w:val="Table"/>
        <w:tblW w:type="pct" w:w="5000"/>
        <w:tblLayout w:type="fixed"/>
        <w:tblLook w:firstRow="0" w:lastRow="0" w:firstColumn="0" w:lastColumn="0" w:noHBand="0" w:noVBand="0" w:val="0000"/>
      </w:tblPr>
      <w:tblGrid>
        <w:gridCol w:w="7920"/>
      </w:tblGrid>
      <w:tr>
        <w:tc>
          <w:tcPr/>
          <w:bookmarkStart w:id="470" w:name="fig-Mapping_kappa"/>
          <w:p>
            <w:pPr>
              <w:pStyle w:val="Compact"/>
              <w:jc w:val="center"/>
            </w:pPr>
            <w:r>
              <w:drawing>
                <wp:inline>
                  <wp:extent cx="5349240" cy="5945886"/>
                  <wp:effectExtent b="0" l="0" r="0" t="0"/>
                  <wp:docPr descr="" title="" id="468" name="Picture"/>
                  <a:graphic>
                    <a:graphicData uri="http://schemas.openxmlformats.org/drawingml/2006/picture">
                      <pic:pic>
                        <pic:nvPicPr>
                          <pic:cNvPr descr="Chapter6/Figs/Kappa_mapping.jpg" id="469" name="Picture"/>
                          <pic:cNvPicPr>
                            <a:picLocks noChangeArrowheads="1" noChangeAspect="1"/>
                          </pic:cNvPicPr>
                        </pic:nvPicPr>
                        <pic:blipFill>
                          <a:blip r:embed="rId467"/>
                          <a:stretch>
                            <a:fillRect/>
                          </a:stretch>
                        </pic:blipFill>
                        <pic:spPr bwMode="auto">
                          <a:xfrm>
                            <a:off x="0" y="0"/>
                            <a:ext cx="5349240" cy="59458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Mapping of a</w:t>
            </w:r>
            <w:r>
              <w:t xml:space="preserve"> </w:t>
            </w:r>
            <w:r>
              <w:rPr>
                <w:i/>
                <w:iCs/>
              </w:rPr>
              <w:t xml:space="preserve">Kappaphycus alvarezii</w:t>
            </w:r>
            <w:r>
              <w:t xml:space="preserve"> </w:t>
            </w:r>
            <w:r>
              <w:t xml:space="preserve">cultivation plot. The cultivation plot has 32 lines of 25 m; an isolated line can be seen on the right part of each image. (A) False-color mosaic of the first date (t0) of cycle 1. (B) Random forest classification of the scene, (C) Spatial distribution of fresh weight per unit area, (D) Spatial distribution of carrageenan weight per unit area. The area is defined by a neighborhood of a 20 cm radius around each pixel. From</w:t>
            </w:r>
            <w:r>
              <w:t xml:space="preserve"> </w:t>
            </w:r>
            <w:r>
              <w:t xml:space="preserve">Nurdin et al. (2023)</w:t>
            </w:r>
            <w:r>
              <w:t xml:space="preserve">.</w:t>
            </w:r>
          </w:p>
          <w:bookmarkEnd w:id="470"/>
        </w:tc>
      </w:tr>
    </w:tbl>
    <w:p>
      <w:pPr>
        <w:pStyle w:val="BodyText"/>
      </w:pPr>
      <w:r>
        <w:t xml:space="preserve">Another example is the study of</w:t>
      </w:r>
      <w:r>
        <w:t xml:space="preserve"> </w:t>
      </w:r>
      <w:r>
        <w:t xml:space="preserve">A. Román et al. (2023)</w:t>
      </w:r>
      <w:r>
        <w:t xml:space="preserve"> </w:t>
      </w:r>
      <w:r>
        <w:t xml:space="preserve">where UAV-derived high-resolution imagery was used to monitor intertidal oyster farms in Bourgneuf Bay, France (</w:t>
      </w:r>
      <w:hyperlink w:anchor="fig-Mapping_oyster">
        <w:r>
          <w:rPr>
            <w:rStyle w:val="Hyperlink"/>
          </w:rPr>
          <w:t xml:space="preserve">Figure 6.2</w:t>
        </w:r>
      </w:hyperlink>
      <w:r>
        <w:t xml:space="preserve">). Using machine learning classifiers, they have successfully identified aquaculture structures, classified mesh bag sizes, and measured table heights, illustrating how UAVs can serve as efficient and cost-effective alternatives to traditional stock assessment methods. These examples highlight the growing role of UAVs in aquaculture, facilitating more precise monitoring and improving resource management.</w:t>
      </w:r>
    </w:p>
    <w:tbl>
      <w:tblPr>
        <w:tblStyle w:val="Table"/>
        <w:tblW w:type="pct" w:w="5000"/>
        <w:tblLayout w:type="fixed"/>
        <w:tblLook w:firstRow="0" w:lastRow="0" w:firstColumn="0" w:lastColumn="0" w:noHBand="0" w:noVBand="0" w:val="0000"/>
      </w:tblPr>
      <w:tblGrid>
        <w:gridCol w:w="7920"/>
      </w:tblGrid>
      <w:tr>
        <w:tc>
          <w:tcPr/>
          <w:bookmarkStart w:id="474" w:name="fig-Mapping_oyster"/>
          <w:p>
            <w:pPr>
              <w:pStyle w:val="Compact"/>
              <w:jc w:val="center"/>
            </w:pPr>
            <w:r>
              <w:drawing>
                <wp:inline>
                  <wp:extent cx="4334256" cy="2189073"/>
                  <wp:effectExtent b="0" l="0" r="0" t="0"/>
                  <wp:docPr descr="" title="" id="472" name="Picture"/>
                  <a:graphic>
                    <a:graphicData uri="http://schemas.openxmlformats.org/drawingml/2006/picture">
                      <pic:pic>
                        <pic:nvPicPr>
                          <pic:cNvPr descr="Chapter6/Figs/oyster_mapping.jpg" id="473" name="Picture"/>
                          <pic:cNvPicPr>
                            <a:picLocks noChangeArrowheads="1" noChangeAspect="1"/>
                          </pic:cNvPicPr>
                        </pic:nvPicPr>
                        <pic:blipFill>
                          <a:blip r:embed="rId471"/>
                          <a:stretch>
                            <a:fillRect/>
                          </a:stretch>
                        </pic:blipFill>
                        <pic:spPr bwMode="auto">
                          <a:xfrm>
                            <a:off x="0" y="0"/>
                            <a:ext cx="4334256" cy="2189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Oyster-bag mesh sizes detection at a 12 m UAV flight altitude. Examples of in situ measurements taken over: A) 9 mm; B) 14 mm; and C) 4 mm mesh sizes. In situ dGPS validation points are represented by white circles. From</w:t>
            </w:r>
            <w:r>
              <w:t xml:space="preserve"> </w:t>
            </w:r>
            <w:r>
              <w:t xml:space="preserve">A. Román et al. (2023)</w:t>
            </w:r>
          </w:p>
          <w:bookmarkEnd w:id="474"/>
        </w:tc>
      </w:tr>
    </w:tbl>
    <w:p>
      <w:pPr>
        <w:pStyle w:val="BodyText"/>
      </w:pPr>
      <w:r>
        <w:t xml:space="preserve">Future developments in UAV technology are expected to enhance automation, scalability, and integration with other remote sensing platforms. One emerging direction is the use of autonomous UAV networks capable of conducting large-scale environmental surveys with minimal human intervention. Such networks could function as coordinated swarms, collecting and analyzing data in near real-time, enabling continuous monitoring of sediment transport, habitat changes, and pollution dispersion. Advances in AI-driven image processing will further refine habitat classification and ecological monitoring, reducing manual interpretation requirements and increasing the efficiency of large-scale assessments.</w:t>
      </w:r>
    </w:p>
    <w:p>
      <w:pPr>
        <w:pStyle w:val="BodyText"/>
      </w:pPr>
      <w:r>
        <w:t xml:space="preserve">Integrating UAV and satellite remote sensing wil also likely improve coastal monitoring. By combining UAV-derived high-resolution imagery with the broad spatial coverage of satellite data, researchers can optimize local-scale accuracy while extending monitoring efforts across regional and global scales. UAV data are already used to validate and improve satellite-based habitat classifications, and ongoing research will likely see UAVs playing a greater role in training machine learning models to enhance the accuracy and consistency of satellite-derived environmental datasets</w:t>
      </w:r>
      <w:r>
        <w:t xml:space="preserve"> </w:t>
      </w:r>
      <w:r>
        <w:t xml:space="preserve">(Davies et al., 2024b; Oiry et al., 2024)</w:t>
      </w:r>
      <w:r>
        <w:t xml:space="preserve">.</w:t>
      </w:r>
    </w:p>
    <w:p>
      <w:pPr>
        <w:pStyle w:val="BodyText"/>
      </w:pPr>
      <w:r>
        <w:t xml:space="preserve">Advancements in UAV sensor technology will further expand their capabilities. The miniaturization of hyperspectral and LiDAR sensors will allow UAVs to capture finer spectral and structural details, improving habitat discrimination and substrate characterization (i.e. the future generation of DJI Mavic will likely incorporate LiDAR technologies in a drone of less than 2 kg, fitting in a backpack). The generalization of hyperspectral UAV remote sensing is particularly relevant for mapping seagrass and macroalgae, where subtle spectral variations are critical for species differentiation</w:t>
      </w:r>
      <w:r>
        <w:t xml:space="preserve"> </w:t>
      </w:r>
      <w:r>
        <w:t xml:space="preserve">(Davies et al., 2023a)</w:t>
      </w:r>
      <w:r>
        <w:t xml:space="preserve">. Additionally, UAV-mounted thermal and fluorescence sensors could improve real-time water quality assessments, detecting variations in chlorophyll concentration, suspended sediments, and temperature anomalies linked to environmental stressors</w:t>
      </w:r>
      <w:r>
        <w:t xml:space="preserve"> </w:t>
      </w:r>
      <w:r>
        <w:t xml:space="preserve">(Bendig et al., 2025; Choi et al., 2019; Pillay et al., 2024; A. Román et al., 2022)</w:t>
      </w:r>
      <w:r>
        <w:t xml:space="preserve">. Beyond passive observation, UAVs may increasingly be used in active intervention strategies for coastal management. Research explores UAV deployment of environmental monitoring instruments, such as floating sensors and water samplers, to gather in situ data from remote or inaccessible locations</w:t>
      </w:r>
      <w:r>
        <w:t xml:space="preserve"> </w:t>
      </w:r>
      <w:r>
        <w:t xml:space="preserve">(Lariosa et al., 2024; Liu et al., 2025)</w:t>
      </w:r>
      <w:r>
        <w:t xml:space="preserve">. UAVs have also been proposed for coastal restoration efforts, with systems capable of dispersing biodegradable seeds to support the regeneration of mangroves, salt marshes, seagrass meadows, and dune vegetation</w:t>
      </w:r>
      <w:r>
        <w:t xml:space="preserve"> </w:t>
      </w:r>
      <w:r>
        <w:t xml:space="preserve">(Marzuki et al., 2021)</w:t>
      </w:r>
      <w:r>
        <w:t xml:space="preserve">. These applications align with broader conservation goals, integrating real-time monitoring with adaptive management strategies that enable rapid response to environmental changes.</w:t>
      </w:r>
    </w:p>
    <w:p>
      <w:pPr>
        <w:pStyle w:val="BodyText"/>
      </w:pPr>
      <w:r>
        <w:t xml:space="preserve">Despite their advantages, several challenges remain for large-scale UAV implementation in coastal research and management. Regulatory restrictions, limited flight endurance, and data processing constraints continue to hinder widespread adoption. Future research should prioritize improving UAV battery life, streamlining real-time data transmission, and developing standardized protocols to ensure consistency across monitoring programs. Addressing these limitations will be essential to harness the potential of UAV technology in coastal ecosystems fully.</w:t>
      </w:r>
    </w:p>
    <w:p>
      <w:pPr>
        <w:pStyle w:val="BodyText"/>
      </w:pPr>
      <w:r>
        <w:t xml:space="preserve">As UAV technology continues to evolve, its role in coastal monitoring will likely expand further. Combining AI-driven automation, advanced sensors, and real-time data processing will enable more efficient and adaptive monitoring approaches, providing critical insights into coastal dynamics. By integrating these technological advancements, UAVs will improve our ability to monitor intertidal environments and support proactive conservation and management strategies. UAVs are expected to play an increasingly central role in coastal resilience efforts, offering innovative solutions to address the growing challenges of climate change and anthropogenic pressures on coastal ecosystems.</w:t>
      </w:r>
    </w:p>
    <w:bookmarkEnd w:id="475"/>
    <w:bookmarkStart w:id="488" w:name="drone-and-satellite-interactions"/>
    <w:p>
      <w:pPr>
        <w:pStyle w:val="Heading2"/>
      </w:pPr>
      <w:r>
        <w:t xml:space="preserve">6.3 Drone and Satellite Interactions</w:t>
      </w:r>
    </w:p>
    <w:p>
      <w:pPr>
        <w:pStyle w:val="FirstParagraph"/>
      </w:pPr>
      <w:r>
        <w:t xml:space="preserve">UAVs provide high spatial resolution imagery,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Integrating UAV-derived observations and field-specific data is particularly relevant for developing machine-learning workflow in complex environments such as intertidal zones.</w:t>
      </w:r>
    </w:p>
    <w:p>
      <w:pPr>
        <w:pStyle w:val="BodyText"/>
      </w:pPr>
      <w:r>
        <w:t xml:space="preserve">Satellites like Sentinel-2 complement UAVs by offering broad spatial coverage and consistent temporal monitoring, facilitating seasonal and inter-annual changes assessment.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a broader ecological context.</w:t>
      </w:r>
    </w:p>
    <w:tbl>
      <w:tblPr>
        <w:tblStyle w:val="Table"/>
        <w:tblW w:type="pct" w:w="5000"/>
        <w:tblLayout w:type="fixed"/>
        <w:tblLook w:firstRow="0" w:lastRow="0" w:firstColumn="0" w:lastColumn="0" w:noHBand="0" w:noVBand="0" w:val="0000"/>
      </w:tblPr>
      <w:tblGrid>
        <w:gridCol w:w="7920"/>
      </w:tblGrid>
      <w:tr>
        <w:tc>
          <w:tcPr/>
          <w:bookmarkStart w:id="479" w:name="fig-WorkflowBede"/>
          <w:p>
            <w:pPr>
              <w:pStyle w:val="Compact"/>
              <w:jc w:val="center"/>
            </w:pPr>
            <w:r>
              <w:drawing>
                <wp:inline>
                  <wp:extent cx="5943600" cy="5281640"/>
                  <wp:effectExtent b="0" l="0" r="0" t="0"/>
                  <wp:docPr descr="" title="" id="477" name="Picture"/>
                  <a:graphic>
                    <a:graphicData uri="http://schemas.openxmlformats.org/drawingml/2006/picture">
                      <pic:pic>
                        <pic:nvPicPr>
                          <pic:cNvPr descr="Chapter6/Figs/WorkflowBede.jpg" id="478" name="Picture"/>
                          <pic:cNvPicPr>
                            <a:picLocks noChangeArrowheads="1" noChangeAspect="1"/>
                          </pic:cNvPicPr>
                        </pic:nvPicPr>
                        <pic:blipFill>
                          <a:blip r:embed="rId476"/>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Workflow showing the processes of model training, building and validation for habitat classification, seagrass identification, and seagrass cover estimation. Example images show the process from Sentinel-2 data to habitat classification and seagrass cover. From</w:t>
            </w:r>
            <w:r>
              <w:t xml:space="preserve"> </w:t>
            </w:r>
            <w:r>
              <w:t xml:space="preserve">Davies et al. (2024a)</w:t>
            </w:r>
            <w:r>
              <w:t xml:space="preserve">.</w:t>
            </w:r>
          </w:p>
          <w:bookmarkEnd w:id="479"/>
        </w:tc>
      </w:tr>
    </w:tbl>
    <w:p>
      <w:pPr>
        <w:pStyle w:val="BodyText"/>
      </w:pPr>
      <w:r>
        <w:t xml:space="preserve">The combination of these technologies allows us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outputs of DISCOV were used to train and validate seagrass habitat classifications across Europe (</w:t>
      </w:r>
      <w:hyperlink w:anchor="fig-WorkflowBede">
        <w:r>
          <w:rPr>
            <w:rStyle w:val="Hyperlink"/>
          </w:rPr>
          <w:t xml:space="preserve">Figure 6.3</w:t>
        </w:r>
      </w:hyperlink>
      <w:r>
        <w:t xml:space="preserve">). This hybrid methodology balances local accuracy and scalability, reducing the costs associated with large-scale monitoring while preserving the depth of localised observations necessary for comprehensive assessments.</w:t>
      </w:r>
    </w:p>
    <w:p>
      <w:pPr>
        <w:pStyle w:val="BodyText"/>
      </w:pPr>
      <w:r>
        <w:t xml:space="preserve">Integrating drone and satellite technologies enhances the ability to monitor, analyse, and manage intertidal ecosystems effectively. By combining detailed precision with extensive coverage, these technologies address scientific and environmental challenges efficiently.</w:t>
      </w:r>
    </w:p>
    <w:tbl>
      <w:tblPr>
        <w:tblStyle w:val="Table"/>
        <w:tblW w:type="pct" w:w="5000"/>
        <w:tblLayout w:type="fixed"/>
        <w:tblLook w:firstRow="0" w:lastRow="0" w:firstColumn="0" w:lastColumn="0" w:noHBand="0" w:noVBand="0" w:val="0000"/>
      </w:tblPr>
      <w:tblGrid>
        <w:gridCol w:w="7920"/>
      </w:tblGrid>
      <w:tr>
        <w:tc>
          <w:tcPr/>
          <w:bookmarkStart w:id="483" w:name="fig-PhenologyBede"/>
          <w:p>
            <w:pPr>
              <w:pStyle w:val="Compact"/>
              <w:jc w:val="center"/>
            </w:pPr>
            <w:r>
              <w:drawing>
                <wp:inline>
                  <wp:extent cx="5349240" cy="3755166"/>
                  <wp:effectExtent b="0" l="0" r="0" t="0"/>
                  <wp:docPr descr="" title="" id="481" name="Picture"/>
                  <a:graphic>
                    <a:graphicData uri="http://schemas.openxmlformats.org/drawingml/2006/picture">
                      <pic:pic>
                        <pic:nvPicPr>
                          <pic:cNvPr descr="Chapter6/Figs/PhenologyBede.jpg" id="482" name="Picture"/>
                          <pic:cNvPicPr>
                            <a:picLocks noChangeArrowheads="1" noChangeAspect="1"/>
                          </pic:cNvPicPr>
                        </pic:nvPicPr>
                        <pic:blipFill>
                          <a:blip r:embed="rId480"/>
                          <a:stretch>
                            <a:fillRect/>
                          </a:stretch>
                        </pic:blipFill>
                        <pic:spPr bwMode="auto">
                          <a:xfrm>
                            <a:off x="0" y="0"/>
                            <a:ext cx="5349240" cy="37551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Seasonal timings in maxima and minima of cumulative seagrass cover (a) and the population-level effect to seagrass extent (km²) from a 1 unit change in Air Temperature and Direct Normal Radiation (b) across 12 seagrass meadows spanning 23° of latitude. Points and error bars show median and 89% confidence intervals for the occurrence of the maxima or minima and b the modelled population-level effect. Temperatures ranged from 0 to 25 (°C), and Direct Normal Radiation ranged from 0.0001 to 0.0003 (KW/m2). From</w:t>
            </w:r>
            <w:r>
              <w:t xml:space="preserve"> </w:t>
            </w:r>
            <w:r>
              <w:t xml:space="preserve">Davies et al. (2024b)</w:t>
            </w:r>
            <w:r>
              <w:t xml:space="preserve">.</w:t>
            </w:r>
          </w:p>
          <w:bookmarkEnd w:id="483"/>
        </w:tc>
      </w:tr>
    </w:tbl>
    <w:p>
      <w:pPr>
        <w:pStyle w:val="BodyText"/>
      </w:pPr>
      <w:r>
        <w:t xml:space="preserve">The Intertidal Classification of Europe: Categorising Reflectance of Emerged Areas of Marine vegetation with Sentinel-2 (ICE CREAMS,</w:t>
      </w:r>
      <w:r>
        <w:t xml:space="preserve"> </w:t>
      </w:r>
      <w:r>
        <w:t xml:space="preserve">Davies et al. (2024a)</w:t>
      </w:r>
      <w:r>
        <w:t xml:space="preserve"> </w:t>
      </w:r>
      <w:r>
        <w:t xml:space="preserve">;</w:t>
      </w:r>
      <w:r>
        <w:t xml:space="preserve"> </w:t>
      </w:r>
      <w:r>
        <w:t xml:space="preserve">Davies et al. (2024b)</w:t>
      </w:r>
      <w:r>
        <w:t xml:space="preserve">) model has been developed in parallel to DISCOV, using its outputs as categorical input for the training on Sentinel-2 reflectance data. Its usage is comparable to DISCOV but it uses satellite reflectance instead of drones.</w:t>
      </w:r>
    </w:p>
    <w:tbl>
      <w:tblPr>
        <w:tblStyle w:val="Table"/>
        <w:tblW w:type="pct" w:w="5000"/>
        <w:tblLayout w:type="fixed"/>
        <w:tblLook w:firstRow="0" w:lastRow="0" w:firstColumn="0" w:lastColumn="0" w:noHBand="0" w:noVBand="0" w:val="0000"/>
      </w:tblPr>
      <w:tblGrid>
        <w:gridCol w:w="7920"/>
      </w:tblGrid>
      <w:tr>
        <w:tc>
          <w:tcPr/>
          <w:bookmarkStart w:id="487" w:name="fig-TrendsBede"/>
          <w:p>
            <w:pPr>
              <w:pStyle w:val="Compact"/>
              <w:jc w:val="center"/>
            </w:pPr>
            <w:r>
              <w:drawing>
                <wp:inline>
                  <wp:extent cx="5349240" cy="6410624"/>
                  <wp:effectExtent b="0" l="0" r="0" t="0"/>
                  <wp:docPr descr="" title="" id="485" name="Picture"/>
                  <a:graphic>
                    <a:graphicData uri="http://schemas.openxmlformats.org/drawingml/2006/picture">
                      <pic:pic>
                        <pic:nvPicPr>
                          <pic:cNvPr descr="Chapter6/Figs/TrendsBede.jpg" id="486" name="Picture"/>
                          <pic:cNvPicPr>
                            <a:picLocks noChangeArrowheads="1" noChangeAspect="1"/>
                          </pic:cNvPicPr>
                        </pic:nvPicPr>
                        <pic:blipFill>
                          <a:blip r:embed="rId484"/>
                          <a:stretch>
                            <a:fillRect/>
                          </a:stretch>
                        </pic:blipFill>
                        <pic:spPr bwMode="auto">
                          <a:xfrm>
                            <a:off x="0" y="0"/>
                            <a:ext cx="5349240" cy="64106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Rate of change in cumulative seagrass extent in km2 y −1 derived from a General Additive Model. Lines show the median first derivative, while shaded areas show the 89% confidence intervals across 2000 posterior predictive samples from a General Additive Model. Plot labels show the site and its latitude and longitude (in degrees) for a Strangford Lough, b Beltringharder Koog, c Bourgneuf Bay, d Santander Bay, e Ria de Aveiro Lagoon and f Cádiz Bay. From</w:t>
            </w:r>
            <w:r>
              <w:t xml:space="preserve"> </w:t>
            </w:r>
            <w:r>
              <w:t xml:space="preserve">Davies et al. (2024a)</w:t>
            </w:r>
            <w:r>
              <w:t xml:space="preserve">.</w:t>
            </w:r>
          </w:p>
          <w:bookmarkEnd w:id="487"/>
        </w:tc>
      </w:tr>
    </w:tbl>
    <w:p>
      <w:pPr>
        <w:pStyle w:val="BodyText"/>
      </w:pPr>
      <w:r>
        <w:t xml:space="preserve">This allows for the spatial, and temporal upscaling of the methodology presented in this thesis, to map intertidal vegetation across Europe. Developed by</w:t>
      </w:r>
      <w:r>
        <w:t xml:space="preserve"> </w:t>
      </w:r>
      <w:r>
        <w:t xml:space="preserve">Davies et al. (2024b)</w:t>
      </w:r>
      <w:r>
        <w:t xml:space="preserve"> </w:t>
      </w:r>
      <w:r>
        <w:t xml:space="preserve">using DISCOV outputs, this method has been employed to analyze the phenology of seagrasses across a 23° latitudinal gradient in Europe. using Sentinel-2 data since 2017. The study revealed a clear latitudinal pattern in seagrass phenology. In northernmost meadows, seagrasses disappear entirely during winter, reaching their maximum extent in late August. In contrast, southernmost meadows exhibit minimal seasonal variation, maintaining relatively stable coverage throughout the year and peaking in extent around early February (</w:t>
      </w:r>
      <w:hyperlink w:anchor="fig-PhenologyBede">
        <w:r>
          <w:rPr>
            <w:rStyle w:val="Hyperlink"/>
          </w:rPr>
          <w:t xml:space="preserve">Figure 6.4</w:t>
        </w:r>
      </w:hyperlink>
      <w:r>
        <w:t xml:space="preserve">).</w:t>
      </w:r>
    </w:p>
    <w:p>
      <w:pPr>
        <w:pStyle w:val="BodyText"/>
      </w:pPr>
      <w:r>
        <w:t xml:space="preserve">ICE CREAMS has also been used to show the trend of intertidal seagrasses in Europe over time, with some study sites showing stability over time and others showing instability (</w:t>
      </w:r>
      <w:hyperlink w:anchor="fig-TrendsBede">
        <w:r>
          <w:rPr>
            <w:rStyle w:val="Hyperlink"/>
          </w:rPr>
          <w:t xml:space="preserve">Figure 6.5</w:t>
        </w:r>
      </w:hyperlink>
      <w:r>
        <w:t xml:space="preserve">). Some sites, like Bourgneuf Bay and Cádiz Bay, demonstrated consistent increases in seagrass cover over the study period (2017–2023), while others, such as Strangford Lough or Beltringharder Koog remained stable</w:t>
      </w:r>
      <w:r>
        <w:t xml:space="preserve"> </w:t>
      </w:r>
      <w:r>
        <w:t xml:space="preserve">(Davies et al., 2024b)</w:t>
      </w:r>
      <w:r>
        <w:t xml:space="preserve">.</w:t>
      </w:r>
    </w:p>
    <w:bookmarkEnd w:id="488"/>
    <w:bookmarkStart w:id="489" w:name="Xd19506168b9305a4e9fd1715a7f698557645a68"/>
    <w:p>
      <w:pPr>
        <w:pStyle w:val="Heading2"/>
      </w:pPr>
      <w:r>
        <w:t xml:space="preserve">6.4 Assessing Coastal Ecosystem Threats Through Remote Sensing</w:t>
      </w:r>
    </w:p>
    <w:p>
      <w:pPr>
        <w:pStyle w:val="FirstParagraph"/>
      </w:pPr>
      <w:r>
        <w:t xml:space="preserve">Chapters 4 and 5 illustrate how remote sensing can be used to assess threats to coastal ecosystems. They both address human-induced pressures, such as the mapping of the alien invasive</w:t>
      </w:r>
      <w:r>
        <w:t xml:space="preserve"> </w:t>
      </w:r>
      <w:r>
        <w:rPr>
          <w:i/>
          <w:iCs/>
        </w:rPr>
        <w:t xml:space="preserve">Gracilaria vermiculophylla</w:t>
      </w:r>
      <w:r>
        <w:t xml:space="preserve"> </w:t>
      </w:r>
      <w:r>
        <w:t xml:space="preserve">(Chapter 4), and the impact of heatwaves on seagrass meadows (Chapter 5).</w:t>
      </w:r>
    </w:p>
    <w:p>
      <w:pPr>
        <w:pStyle w:val="BodyText"/>
      </w:pPr>
      <w:r>
        <w:t xml:space="preserve">Coastal ecosystems, including seagrass meadows and intertidal habitats, face diverse threats such as climate-induced stress, eutrophication, and habitat fragmentation. While traditional field surveys provide valuable insights, they are often time-consuming and limited in scope. Remote sensing complements these methods by enabling consistent, high-resolution monitoring over large areas, with a long-term perspective. Multispectral and hyperspectral imaging, in particular, allow for detailed analysis of vegetation health, species composition, and stress indicators (see Chapter 4 &amp; 5, Muller-Karger et al. 2018; Murray et al. 2015). Furthermore, technologies such as LiDAR and Synthetic Aperture Radar (SAR) enhance the precision of topographic and hydrological assessments, which are crucial for understanding elevation changes and storm surge dynamics.</w:t>
      </w:r>
    </w:p>
    <w:p>
      <w:pPr>
        <w:pStyle w:val="BodyText"/>
      </w:pPr>
      <w:r>
        <w:t xml:space="preserve">Monitoring coastal threats through remote sensing relies on satellite-based platforms such as Sentinel-2, Landsat, and MODIS. These platforms provide data to evaluate changes in vegetation indices (e.g., NDVI, SHSI) and other parameters critical to ecological health. These indices play a key role in detecting early signs of ecosystem degradation, such as seagrass browning or the proliferation of invasive species (Chapter 4 &amp; 5). Additionally, airborne sensors and UAVs enhance spatial resolution, enabling the mapping of fine-scale features to study algal blooms, sediment displacement caused by coastal erosion, or invasive species</w:t>
      </w:r>
      <w:r>
        <w:t xml:space="preserve"> </w:t>
      </w:r>
      <w:r>
        <w:t xml:space="preserve">(Novais et al., 2023)</w:t>
      </w:r>
      <w:r>
        <w:t xml:space="preserve">. Advanced machine learning models applied to remote sensing data are increasingly used to detect and predict these phenomena, leveraging large datasets to improve the accuracy of coastal hazard forecasts.</w:t>
      </w:r>
    </w:p>
    <w:p>
      <w:pPr>
        <w:pStyle w:val="BodyText"/>
      </w:pPr>
      <w:r>
        <w:t xml:space="preserve">Remote sensing also plays a significant role in structured ecosystem risk assessments by integrating spatial and temporal data into predictive models. For instance, remote sensing data could be integrated into a DAPSI(W)R(M) framework (standing for Drivers, Activities, Pressures, State changes, Impact on Welfare, Responses as Measures) to analyze drivers, pressures, and state changes, supporting holistic management of marine and coastal environments</w:t>
      </w:r>
      <w:r>
        <w:t xml:space="preserve"> </w:t>
      </w:r>
      <w:r>
        <w:t xml:space="preserve">(Mahrad et al., 2020; Murray et al., 2018)</w:t>
      </w:r>
      <w:r>
        <w:t xml:space="preserve">. Using long-term datasets, remote sensing technologies help identify habitat loss or recovery trends, providing essential tools for researchers and policymakers to address environmental challenges and implement sustainable management strategies</w:t>
      </w:r>
      <w:r>
        <w:t xml:space="preserve"> </w:t>
      </w:r>
      <w:r>
        <w:t xml:space="preserve">(Muller-Karger et al., 2018; Murray et al., 2018; Zoffoli et al., 2023)</w:t>
      </w:r>
      <w:r>
        <w:t xml:space="preserve">.</w:t>
      </w:r>
    </w:p>
    <w:p>
      <w:pPr>
        <w:pStyle w:val="BodyText"/>
      </w:pPr>
      <w:r>
        <w:t xml:space="preserve">Through environmental monitoring and modeling applications, remote sensing provides a comprehensive understanding of coastal ecosystem dynamics. Its dual ability to offer large-scale overviews and detailed local assessments makes it an indispensable resource for managing and mitigating the impacts of anthropogenic and natural stressors on fragile coastal zones. As cloud-computing platforms and integrated GIS technologies evolve, they further expand the remote sensing capabilities for real-time and collaborative environmental monitoring.</w:t>
      </w:r>
    </w:p>
    <w:bookmarkEnd w:id="489"/>
    <w:bookmarkStart w:id="490" w:name="perspectives"/>
    <w:p>
      <w:pPr>
        <w:pStyle w:val="Heading2"/>
      </w:pPr>
      <w:r>
        <w:t xml:space="preserve">6.5 Perspectives</w:t>
      </w:r>
    </w:p>
    <w:p>
      <w:pPr>
        <w:pStyle w:val="FirstParagraph"/>
      </w:pPr>
      <w:r>
        <w:t xml:space="preserve">Seagrass meadows are experiencing widespread global declines. They are increasingly threatened by human activities such as coastal development and declining water quality. While some areas show signs of stabilisation or recovery, losses continue to outpace gains globally. The variability in seagrass trends highlights the urgent need to focus on restoration efforts alongside understanding the drivers of change, as improved restoration strategies are essential for reversing declines and supporting long-term conservation. Seagrass restoration refers to the active and strategic process of reestablishing seagrass meadows in areas where they have been degraded or lost, aiming to reverse habitat loss and enhance ecosystem resilience. These efforts involve transplanting seagrass shoots, planting seeds, enhancing natural recovery processes, and improving environmental conditions to support seagrass growth. RS offers precise tools for monitoring and enhancing seagrass restoration by providing high-resolution spatial data to assess transplanted meadows and detect changes in coverage and health</w:t>
      </w:r>
      <w:r>
        <w:t xml:space="preserve"> </w:t>
      </w:r>
      <w:r>
        <w:t xml:space="preserve">(Ventura et al., 2022)</w:t>
      </w:r>
      <w:r>
        <w:t xml:space="preserve">.</w:t>
      </w:r>
    </w:p>
    <w:p>
      <w:pPr>
        <w:pStyle w:val="BodyText"/>
      </w:pPr>
      <w:r>
        <w:t xml:space="preserve">For instance, in Arcachon Bay, France, the seagrass meadows, historically covered approximately 40 km² of the bay, making it one of the largest seagrass habitats in Europe</w:t>
      </w:r>
      <w:r>
        <w:t xml:space="preserve"> </w:t>
      </w:r>
      <w:r>
        <w:t xml:space="preserve">(Cognat et al., 2018)</w:t>
      </w:r>
      <w:r>
        <w:t xml:space="preserve">. This meadow experienced a drastic decline, losing over 40% of its coverage between 1989 and 2019</w:t>
      </w:r>
      <w:r>
        <w:t xml:space="preserve"> </w:t>
      </w:r>
      <w:r>
        <w:t xml:space="preserve">(Muller et al., 2024)</w:t>
      </w:r>
      <w:r>
        <w:t xml:space="preserve">. Recognising this loss, the Natural Marine Park of Arcachon Bay launched active restoration efforts, including the transplantation of Zostera noltei sods and participatory seed collection initiatives.</w:t>
      </w:r>
      <w:r>
        <w:t xml:space="preserve"> </w:t>
      </w:r>
      <w:r>
        <w:t xml:space="preserve">Laurent (2024)</w:t>
      </w:r>
      <w:r>
        <w:t xml:space="preserve"> </w:t>
      </w:r>
      <w:r>
        <w:t xml:space="preserve">has shown that after the first monitoring, 85% of the transplanted sods (405 out of 476) had survived, with all nine sods surviving in 68% of the sites (36 stations), showing a promising start. However, on the two flats monitored twice, a high mortality rate of around 60% was recorded during the second monitoring. Additionally, 82% of transplants expanded at the first monitoring, but only 10% maintained this expansion in the second monitoring, reflecting the complexity of long-term restoration success. This case study highlights the challenges faced by seagrass restoration efforts.</w:t>
      </w:r>
    </w:p>
    <w:p>
      <w:pPr>
        <w:pStyle w:val="BodyText"/>
      </w:pPr>
      <w:r>
        <w:t xml:space="preserve">RS can play a critical role in identifying suitable areas for seagrass restoration by mapping habitat suitability and assessing anthropogenic pressures</w:t>
      </w:r>
      <w:r>
        <w:t xml:space="preserve"> </w:t>
      </w:r>
      <w:r>
        <w:t xml:space="preserve">(Hu et al., 2021)</w:t>
      </w:r>
      <w:r>
        <w:t xml:space="preserve">. Integrating spatial data with environmental predictors such as water quality, depth, and substrate type makes it possible to pinpoint locations with the greatest potential for successful restoration while minimising risks from human activities. This technology supports the evaluation of restoration success and facilitates adaptive management by identifying environmental conditions that favour seagrass recovery. By integrating remote sensing with ecological studies, restoration efforts can be more targeted, efficient, and adaptive to ongoing environmental changes</w:t>
      </w:r>
      <w:r>
        <w:t xml:space="preserve"> </w:t>
      </w:r>
      <w:r>
        <w:t xml:space="preserve">(Valle et al., 2014)</w:t>
      </w:r>
      <w:r>
        <w:t xml:space="preserve">.</w:t>
      </w:r>
    </w:p>
    <w:p>
      <w:pPr>
        <w:pStyle w:val="BodyText"/>
      </w:pPr>
      <w:r>
        <w:t xml:space="preserve">The DISCOV model could support seagrass restoration efforts with its ability to classify vegetation at very high spatial resolutions and distinguish seagrass from other green macrophytes. By offering precise habitat classification and mapping, DISCOV can aid at identifying optimal restoration sites (e.g. finding sites that limit competition with other species) and monitoring restored meadows. Its application could enhance our capacity to adapt restoration strategies based on real-time, fine-scale data, ultimately supporting the resilience and recovery of seagrass ecosystems. DISCOV and ICE CREAMS are smart data tools that are planned to be applied in the EU restoration project REBORN (Unlocking seagRass rEstoration at scale in NWE as a BGI and natural capital OppoRtuNity) submitted to the Interreg program. Satellite and drone imagery will be used to track changes in seagrass distribution in the North-West regions of Europe, identify at-risk areas, and prioritise interventions. As transboundary tools, they will facilitate data sharing and joint management between countries. Satellites and drone images are powerful communication tools for engaging the public and authorities by providing visual, data-rich, and easily interpretable information. They can foster greater public support for restoration initiatives.</w:t>
      </w:r>
    </w:p>
    <w:bookmarkEnd w:id="490"/>
    <w:bookmarkEnd w:id="491"/>
    <w:bookmarkStart w:id="991" w:name="references"/>
    <w:p>
      <w:pPr>
        <w:pStyle w:val="Heading1"/>
      </w:pPr>
      <w:r>
        <w:t xml:space="preserve">References</w:t>
      </w:r>
    </w:p>
    <w:bookmarkStart w:id="990" w:name="refs"/>
    <w:bookmarkStart w:id="492" w:name="ref-abiodun2018state"/>
    <w:p>
      <w:pPr>
        <w:pStyle w:val="Bibliography"/>
      </w:pPr>
      <w:r>
        <w:t xml:space="preserve">Abiodun, O.I., Jantan, A., Omolara, A.E., Dada, K.V., Mohamed, N.A., Arshad, H., 2018. State-of-the-art in artificial neural network applications: A survey. Heliyon 4.</w:t>
      </w:r>
    </w:p>
    <w:bookmarkEnd w:id="492"/>
    <w:bookmarkStart w:id="493"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93"/>
    <w:bookmarkStart w:id="494" w:name="ref-adade2021"/>
    <w:p>
      <w:pPr>
        <w:pStyle w:val="Bibliography"/>
      </w:pPr>
      <w:r>
        <w:t xml:space="preserve">Adade, R., Aibinu, A.M., Ekumah, B., Asaana, J., 2021. Unmanned aerial vehicle (UAV) applications in coastal zone management—a review. Environmental Monitoring and Assessment 193, 1–12.</w:t>
      </w:r>
    </w:p>
    <w:bookmarkEnd w:id="494"/>
    <w:bookmarkStart w:id="496" w:name="ref-agisoft"/>
    <w:p>
      <w:pPr>
        <w:pStyle w:val="Bibliography"/>
      </w:pPr>
      <w:r>
        <w:t xml:space="preserve">Agisoft, 2019.</w:t>
      </w:r>
      <w:r>
        <w:t xml:space="preserve"> </w:t>
      </w:r>
      <w:hyperlink r:id="rId495">
        <w:r>
          <w:rPr>
            <w:rStyle w:val="Hyperlink"/>
          </w:rPr>
          <w:t xml:space="preserve">Agisoft metashape</w:t>
        </w:r>
      </w:hyperlink>
      <w:r>
        <w:t xml:space="preserve">.</w:t>
      </w:r>
    </w:p>
    <w:bookmarkEnd w:id="496"/>
    <w:bookmarkStart w:id="497" w:name="ref-ahmed2016coastal"/>
    <w:p>
      <w:pPr>
        <w:pStyle w:val="Bibliography"/>
      </w:pPr>
      <w:r>
        <w:t xml:space="preserve">Ahmed, N., Glaser, M., 2016. Coastal aquaculture, mangrove deforestation and blue carbon emissions: Is REDD+ a solution? Marine Policy 66, 58–66.</w:t>
      </w:r>
    </w:p>
    <w:bookmarkEnd w:id="497"/>
    <w:bookmarkStart w:id="498" w:name="ref-allakhverdiev2008heat"/>
    <w:p>
      <w:pPr>
        <w:pStyle w:val="Bibliography"/>
      </w:pPr>
      <w:r>
        <w:t xml:space="preserve">Allakhverdiev, S.I., Kreslavski, V.D., Klimov, V.V., Los, D.A., Carpentier, R., Mohanty, P., 2008. Heat stress: An overview of molecular responses in photosynthesis. Photosynthesis research 98, 541–550.</w:t>
      </w:r>
    </w:p>
    <w:bookmarkEnd w:id="498"/>
    <w:bookmarkStart w:id="499" w:name="ref-alongi2012carbon"/>
    <w:p>
      <w:pPr>
        <w:pStyle w:val="Bibliography"/>
      </w:pPr>
      <w:r>
        <w:t xml:space="preserve">Alongi, D.M., 2012. Carbon sequestration in mangrove forests. Carbon management 3, 313–322.</w:t>
      </w:r>
    </w:p>
    <w:bookmarkEnd w:id="499"/>
    <w:bookmarkStart w:id="500"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500"/>
    <w:bookmarkStart w:id="501" w:name="ref-arias2018marine"/>
    <w:p>
      <w:pPr>
        <w:pStyle w:val="Bibliography"/>
      </w:pPr>
      <w:r>
        <w:t xml:space="preserve">Arias-Ortiz, A., Serrano, O., Masqué, P., Lavery, P.S., Mueller, U., Kendrick, G.A., Rozaimi, M., Esteban, A., Fourqurean, J.W., Marbà, N., others, 2018. A marine heatwave drives massive losses from the world’s largest seagrass carbon stocks. Nature Climate Change 8, 338–344.</w:t>
      </w:r>
    </w:p>
    <w:bookmarkEnd w:id="501"/>
    <w:bookmarkStart w:id="502" w:name="ref-arim2006spread"/>
    <w:p>
      <w:pPr>
        <w:pStyle w:val="Bibliography"/>
      </w:pPr>
      <w:r>
        <w:t xml:space="preserve">Arim, M., Abades, S.R., Neill, P.E., Lima, M., Marquet, P.A., 2006. Spread dynamics of invasive species. Proceedings of the National Academy of Sciences 103, 374–378.</w:t>
      </w:r>
    </w:p>
    <w:bookmarkEnd w:id="502"/>
    <w:bookmarkStart w:id="503"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503"/>
    <w:bookmarkStart w:id="504" w:name="ref-armitage2016carbon"/>
    <w:p>
      <w:pPr>
        <w:pStyle w:val="Bibliography"/>
      </w:pPr>
      <w:r>
        <w:t xml:space="preserve">Armitage, A., Fourqurean, J.W., 2016. Carbon storage in seagrass soils: Long-term nutrient history exceeds the effects of near-term nutrient enrichment. Biogeosciences 13, 313–321.</w:t>
      </w:r>
    </w:p>
    <w:bookmarkEnd w:id="504"/>
    <w:bookmarkStart w:id="506" w:name="ref-ASI2020"/>
    <w:p>
      <w:pPr>
        <w:pStyle w:val="Bibliography"/>
      </w:pPr>
      <w:r>
        <w:t xml:space="preserve">ASI, n.d.</w:t>
      </w:r>
      <w:r>
        <w:t xml:space="preserve"> </w:t>
      </w:r>
      <w:hyperlink r:id="rId505">
        <w:r>
          <w:rPr>
            <w:rStyle w:val="Hyperlink"/>
          </w:rPr>
          <w:t xml:space="preserve">PRISMA products specification document issue 2.3 date 12/03/2020</w:t>
        </w:r>
      </w:hyperlink>
      <w:r>
        <w:t xml:space="preserve">.</w:t>
      </w:r>
    </w:p>
    <w:bookmarkEnd w:id="506"/>
    <w:bookmarkStart w:id="507"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507"/>
    <w:bookmarkStart w:id="508"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508"/>
    <w:bookmarkStart w:id="509" w:name="ref-barbier2015valuing"/>
    <w:p>
      <w:pPr>
        <w:pStyle w:val="Bibliography"/>
      </w:pPr>
      <w:r>
        <w:t xml:space="preserve">Barbier, E.B., 2015. Valuing the storm protection service of estuarine and coastal ecosystems. Ecosystem Services 11, 32–38.</w:t>
      </w:r>
    </w:p>
    <w:bookmarkEnd w:id="509"/>
    <w:bookmarkStart w:id="510" w:name="ref-barbier2011value"/>
    <w:p>
      <w:pPr>
        <w:pStyle w:val="Bibliography"/>
      </w:pPr>
      <w:r>
        <w:t xml:space="preserve">Barbier, E.B., Hacker, S.D., Kennedy, C., Koch, E.W., Stier, A.C., Silliman, B.R., 2011. The value of estuarine and coastal ecosystem services. Ecological monographs 81, 169–193.</w:t>
      </w:r>
    </w:p>
    <w:bookmarkEnd w:id="510"/>
    <w:bookmarkStart w:id="511" w:name="ref-Bargain2012"/>
    <w:p>
      <w:pPr>
        <w:pStyle w:val="Bibliography"/>
      </w:pPr>
      <w:r>
        <w:t xml:space="preserve">Bargain, A., Robin, M., Le Men, E., Huete, A., Barillé, L., 2012. Spectral response of the seagrass zostera noltii with different sediment backgrounds. Aquatic Botany 98, 45–56.</w:t>
      </w:r>
    </w:p>
    <w:bookmarkEnd w:id="511"/>
    <w:bookmarkStart w:id="513"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512">
        <w:r>
          <w:rPr>
            <w:rStyle w:val="Hyperlink"/>
          </w:rPr>
          <w:t xml:space="preserve">https://doi.org/10.1016/j.jembe.2013.04.012</w:t>
        </w:r>
      </w:hyperlink>
    </w:p>
    <w:bookmarkEnd w:id="513"/>
    <w:bookmarkStart w:id="515"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514">
        <w:r>
          <w:rPr>
            <w:rStyle w:val="Hyperlink"/>
          </w:rPr>
          <w:t xml:space="preserve">https://doi.org/10.1016/j.rse.2010.12.008</w:t>
        </w:r>
      </w:hyperlink>
    </w:p>
    <w:bookmarkEnd w:id="515"/>
    <w:bookmarkStart w:id="517"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516">
        <w:r>
          <w:rPr>
            <w:rStyle w:val="Hyperlink"/>
          </w:rPr>
          <w:t xml:space="preserve">https://doi.org/10.1016/j.aquabot.2009.11.006</w:t>
        </w:r>
      </w:hyperlink>
    </w:p>
    <w:bookmarkEnd w:id="517"/>
    <w:bookmarkStart w:id="518"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518"/>
    <w:bookmarkStart w:id="519"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519"/>
    <w:bookmarkStart w:id="520" w:name="ref-beach1997vivo"/>
    <w:p>
      <w:pPr>
        <w:pStyle w:val="Bibliography"/>
      </w:pPr>
      <w:r>
        <w:t xml:space="preserve">Beach, K., Borgeas, H., Nishimura, N., Smith, C., 1997. In vivo absorbance spectra and the ecophysiology of reef macroalgae. Coral Reefs 16, 21–28.</w:t>
      </w:r>
    </w:p>
    <w:bookmarkEnd w:id="520"/>
    <w:bookmarkStart w:id="522"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521">
        <w:r>
          <w:rPr>
            <w:rStyle w:val="Hyperlink"/>
          </w:rPr>
          <w:t xml:space="preserve">https://doi.org/10.1007/s12237-021-00949-8</w:t>
        </w:r>
      </w:hyperlink>
    </w:p>
    <w:bookmarkEnd w:id="522"/>
    <w:bookmarkStart w:id="523" w:name="ref-bendig2025comparing"/>
    <w:p>
      <w:pPr>
        <w:pStyle w:val="Bibliography"/>
      </w:pPr>
      <w:r>
        <w:t xml:space="preserve">Bendig, J., Malenovskỳ, Z., Siegmann, B., Krämer, J., Rascher, U., 2025. Comparing methods for solar-induced fluorescence efficiency estimation using radiative transfer modelling and airborne diurnal measurements of barley crops. Remote Sensing of Environment 317, 114521.</w:t>
      </w:r>
    </w:p>
    <w:bookmarkEnd w:id="523"/>
    <w:bookmarkStart w:id="524" w:name="ref-bendor2006spatial"/>
    <w:p>
      <w:pPr>
        <w:pStyle w:val="Bibliography"/>
      </w:pPr>
      <w:r>
        <w:t xml:space="preserve">BenDor, T.K., Metcalf, S.S., 2006. The spatial dynamics of invasive species spread. System Dynamics Review: The Journal of the System Dynamics Society 22, 27–50.</w:t>
      </w:r>
    </w:p>
    <w:bookmarkEnd w:id="524"/>
    <w:bookmarkStart w:id="525"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525"/>
    <w:bookmarkStart w:id="526"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526"/>
    <w:bookmarkStart w:id="528"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527">
        <w:r>
          <w:rPr>
            <w:rStyle w:val="Hyperlink"/>
          </w:rPr>
          <w:t xml:space="preserve">https://doi.org/10.1016/j.seares.2014.02.014</w:t>
        </w:r>
      </w:hyperlink>
    </w:p>
    <w:bookmarkEnd w:id="528"/>
    <w:bookmarkStart w:id="529" w:name="ref-blum2009drowning"/>
    <w:p>
      <w:pPr>
        <w:pStyle w:val="Bibliography"/>
      </w:pPr>
      <w:r>
        <w:t xml:space="preserve">Blum, M.D., Roberts, H.H., 2009. Drowning of the mississippi delta due to insufficient sediment supply and global sea-level rise. Nature geoscience 2, 488–491.</w:t>
      </w:r>
    </w:p>
    <w:bookmarkEnd w:id="529"/>
    <w:bookmarkStart w:id="530"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530"/>
    <w:bookmarkStart w:id="531"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531"/>
    <w:bookmarkStart w:id="532" w:name="ref-borum2004european"/>
    <w:p>
      <w:pPr>
        <w:pStyle w:val="Bibliography"/>
      </w:pPr>
      <w:r>
        <w:t xml:space="preserve">Borum, J., Duarte, C.M., Krause-Jensen, D., Greve, T.M., 2004. European seagrasses: An introduction to monitoring and management. Monitoring; Managing of European Seagrasses Project.</w:t>
      </w:r>
    </w:p>
    <w:bookmarkEnd w:id="532"/>
    <w:bookmarkStart w:id="533"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533"/>
    <w:bookmarkStart w:id="534"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534"/>
    <w:bookmarkStart w:id="535" w:name="ref-breiman2001random"/>
    <w:p>
      <w:pPr>
        <w:pStyle w:val="Bibliography"/>
      </w:pPr>
      <w:r>
        <w:t xml:space="preserve">Breiman, L., 2001. Random forests. Machine learning 45, 5–32.</w:t>
      </w:r>
    </w:p>
    <w:bookmarkEnd w:id="535"/>
    <w:bookmarkStart w:id="537" w:name="ref-Brondizio2019"/>
    <w:p>
      <w:pPr>
        <w:pStyle w:val="Bibliography"/>
      </w:pPr>
      <w:r>
        <w:t xml:space="preserve">Brondízio, E.S., Settele, J., Díaz, S., Ngo, H.T.(eds)., 2019.</w:t>
      </w:r>
      <w:r>
        <w:t xml:space="preserve"> </w:t>
      </w:r>
      <w:hyperlink r:id="rId536">
        <w:r>
          <w:rPr>
            <w:rStyle w:val="Hyperlink"/>
          </w:rPr>
          <w:t xml:space="preserve">IPBES (2019), Global assessment report of the Intergovernmental Science-Policy Platform on Biodiversity and Ecosystem Services</w:t>
        </w:r>
      </w:hyperlink>
      <w:r>
        <w:t xml:space="preserve">.</w:t>
      </w:r>
    </w:p>
    <w:bookmarkEnd w:id="537"/>
    <w:bookmarkStart w:id="538" w:name="ref-brun2003effect"/>
    <w:p>
      <w:pPr>
        <w:pStyle w:val="Bibliography"/>
      </w:pPr>
      <w:r>
        <w:t xml:space="preserve">Brun, F.G., Vergara, J.J., Navarro, G., Hernández, I., Pérez-Lloréns, J.L., 2003. Effect of shading by ulva rigida canopies on growth and carbon balance of the seagrass zostera noltii. Marine Ecology Progress Series 265, 85–96.</w:t>
      </w:r>
    </w:p>
    <w:bookmarkEnd w:id="538"/>
    <w:bookmarkStart w:id="540"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539">
        <w:r>
          <w:rPr>
            <w:rStyle w:val="Hyperlink"/>
          </w:rPr>
          <w:t xml:space="preserve">https://doi.org/10.3390/RS14020307</w:t>
        </w:r>
      </w:hyperlink>
    </w:p>
    <w:bookmarkEnd w:id="540"/>
    <w:bookmarkStart w:id="541"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541"/>
    <w:bookmarkStart w:id="542"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542"/>
    <w:bookmarkStart w:id="544"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543">
        <w:r>
          <w:rPr>
            <w:rStyle w:val="Hyperlink"/>
          </w:rPr>
          <w:t xml:space="preserve">https://doi.org/10.18637/jss.v100.i05</w:t>
        </w:r>
      </w:hyperlink>
    </w:p>
    <w:bookmarkEnd w:id="544"/>
    <w:bookmarkStart w:id="546"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545">
        <w:r>
          <w:rPr>
            <w:rStyle w:val="Hyperlink"/>
          </w:rPr>
          <w:t xml:space="preserve">https://doi.org/10.32614/RJ-2018-017</w:t>
        </w:r>
      </w:hyperlink>
    </w:p>
    <w:bookmarkEnd w:id="546"/>
    <w:bookmarkStart w:id="548"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547">
        <w:r>
          <w:rPr>
            <w:rStyle w:val="Hyperlink"/>
          </w:rPr>
          <w:t xml:space="preserve">https://doi.org/10.18637/jss.v080.i01</w:t>
        </w:r>
      </w:hyperlink>
    </w:p>
    <w:bookmarkEnd w:id="548"/>
    <w:bookmarkStart w:id="549"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49"/>
    <w:bookmarkStart w:id="550"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50"/>
    <w:bookmarkStart w:id="551"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51"/>
    <w:bookmarkStart w:id="553" w:name="ref-Cao2017"/>
    <w:p>
      <w:pPr>
        <w:pStyle w:val="Bibliography"/>
      </w:pPr>
      <w:r>
        <w:t xml:space="preserve">Cao, F., Yang, Z., Ren, J., Jiang, M., Ling, W.-K., 2017.</w:t>
      </w:r>
      <w:r>
        <w:t xml:space="preserve"> </w:t>
      </w:r>
      <w:hyperlink r:id="rId552">
        <w:r>
          <w:rPr>
            <w:rStyle w:val="Hyperlink"/>
          </w:rPr>
          <w:t xml:space="preserve">Does Normalization Methods Play a Role for Hyperspectral Image Classification?</w:t>
        </w:r>
      </w:hyperlink>
      <w:r>
        <w:t xml:space="preserve"> </w:t>
      </w:r>
      <w:r>
        <w:t xml:space="preserve">2–7.</w:t>
      </w:r>
    </w:p>
    <w:bookmarkEnd w:id="553"/>
    <w:bookmarkStart w:id="554" w:name="ref-cao2022explicit"/>
    <w:p>
      <w:pPr>
        <w:pStyle w:val="Bibliography"/>
      </w:pPr>
      <w:r>
        <w:t xml:space="preserve">Cao, H., Wang, M., Su, S., Kang, M., 2022. Explicit quantification of coastal cultural ecosystem services: A novel approach based on the content and sentimental analysis of social media. Ecological Indicators 137, 108756.</w:t>
      </w:r>
    </w:p>
    <w:bookmarkEnd w:id="554"/>
    <w:bookmarkStart w:id="555"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55"/>
    <w:bookmarkStart w:id="556"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56"/>
    <w:bookmarkStart w:id="558"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57">
        <w:r>
          <w:rPr>
            <w:rStyle w:val="Hyperlink"/>
          </w:rPr>
          <w:t xml:space="preserve">https://doi.org/10.18637/jss.v076.i01</w:t>
        </w:r>
      </w:hyperlink>
    </w:p>
    <w:bookmarkEnd w:id="558"/>
    <w:bookmarkStart w:id="559"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59"/>
    <w:bookmarkStart w:id="561"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60">
        <w:r>
          <w:rPr>
            <w:rStyle w:val="Hyperlink"/>
          </w:rPr>
          <w:t xml:space="preserve">https://doi.org/10.1016/j.csr.2013.01.010</w:t>
        </w:r>
      </w:hyperlink>
    </w:p>
    <w:bookmarkEnd w:id="561"/>
    <w:bookmarkStart w:id="563"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62">
        <w:r>
          <w:rPr>
            <w:rStyle w:val="Hyperlink"/>
          </w:rPr>
          <w:t xml:space="preserve">https://doi.org/10.1007/s00227-012-1987-5</w:t>
        </w:r>
      </w:hyperlink>
    </w:p>
    <w:bookmarkEnd w:id="563"/>
    <w:bookmarkStart w:id="564" w:name="ref-casella2020"/>
    <w:p>
      <w:pPr>
        <w:pStyle w:val="Bibliography"/>
      </w:pPr>
      <w:r>
        <w:t xml:space="preserve">Casella, E., Drechsel, J., Winter, C., Benninghoff, M., Rovere, A., 2020. Accuracy of sand beach topography surveying by drones and photogrammetry. Geo-Marine Letters 40, 255–268.</w:t>
      </w:r>
    </w:p>
    <w:bookmarkEnd w:id="564"/>
    <w:bookmarkStart w:id="566" w:name="ref-Castaing1995"/>
    <w:p>
      <w:pPr>
        <w:pStyle w:val="Bibliography"/>
      </w:pPr>
      <w:r>
        <w:t xml:space="preserve">Castaing, P., Guilcher, A., 1995. Morphosedimentary evolution of ria-type estuaries. Earth Surface Processes and Landforms 20, 361–376.</w:t>
      </w:r>
      <w:r>
        <w:t xml:space="preserve"> </w:t>
      </w:r>
      <w:hyperlink r:id="rId565">
        <w:r>
          <w:rPr>
            <w:rStyle w:val="Hyperlink"/>
          </w:rPr>
          <w:t xml:space="preserve">https://doi.org/10.1002/esp.3290200408</w:t>
        </w:r>
      </w:hyperlink>
    </w:p>
    <w:bookmarkEnd w:id="566"/>
    <w:bookmarkStart w:id="567"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67"/>
    <w:bookmarkStart w:id="568"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68"/>
    <w:bookmarkStart w:id="570" w:name="ref-shinypck"/>
    <w:p>
      <w:pPr>
        <w:pStyle w:val="Bibliography"/>
      </w:pPr>
      <w:r>
        <w:t xml:space="preserve">Chang, W., Cheng, J., Allaire, J., Sievert, C., Schloerke, B., Xie, Y., Allen, J., McPherson, J., Dipert, A., Borges, B., 2024.</w:t>
      </w:r>
      <w:r>
        <w:t xml:space="preserve"> </w:t>
      </w:r>
      <w:hyperlink r:id="rId569">
        <w:r>
          <w:rPr>
            <w:rStyle w:val="Hyperlink"/>
          </w:rPr>
          <w:t xml:space="preserve">Shiny: Web application framework for r</w:t>
        </w:r>
      </w:hyperlink>
      <w:r>
        <w:t xml:space="preserve">.</w:t>
      </w:r>
    </w:p>
    <w:bookmarkEnd w:id="570"/>
    <w:bookmarkStart w:id="572"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71">
        <w:r>
          <w:rPr>
            <w:rStyle w:val="Hyperlink"/>
          </w:rPr>
          <w:t xml:space="preserve">https://doi.org/10.1016/j.algal.2017.04.021</w:t>
        </w:r>
      </w:hyperlink>
    </w:p>
    <w:bookmarkEnd w:id="572"/>
    <w:bookmarkStart w:id="573"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73"/>
    <w:bookmarkStart w:id="574" w:name="ref-chefaoui2018dramatic"/>
    <w:p>
      <w:pPr>
        <w:pStyle w:val="Bibliography"/>
      </w:pPr>
      <w:r>
        <w:t xml:space="preserve">Chefaoui, R.M., Duarte, C.M., Serrão, E.A., 2018. Dramatic loss of seagrass habitat under projected climate change in the mediterranean sea. Global change biology 24, 4919–4928.</w:t>
      </w:r>
    </w:p>
    <w:bookmarkEnd w:id="574"/>
    <w:bookmarkStart w:id="575" w:name="ref-cheng1994neural"/>
    <w:p>
      <w:pPr>
        <w:pStyle w:val="Bibliography"/>
      </w:pPr>
      <w:r>
        <w:t xml:space="preserve">Cheng, B., Titterington, D.M., 1994. Neural networks: A review from a statistical perspective. Statistical science 2–30.</w:t>
      </w:r>
    </w:p>
    <w:bookmarkEnd w:id="575"/>
    <w:bookmarkStart w:id="576" w:name="ref-choi2019mapping"/>
    <w:p>
      <w:pPr>
        <w:pStyle w:val="Bibliography"/>
      </w:pPr>
      <w:r>
        <w:t xml:space="preserve">Choi, F., Gouhier, T., Lima, F., Rilov, G., Seabra, R., Helmuth, B., 2019. Mapping physiology: Biophysical mechanisms define scales of climate change impacts. Conservation Physiology 7, coz028.</w:t>
      </w:r>
    </w:p>
    <w:bookmarkEnd w:id="576"/>
    <w:bookmarkStart w:id="577" w:name="ref-christensen1977seaweeds"/>
    <w:p>
      <w:pPr>
        <w:pStyle w:val="Bibliography"/>
      </w:pPr>
      <w:r>
        <w:t xml:space="preserve">Christensen, T., Dixon, P.S., Irvine, L.M., 1977. Seaweeds of the british isles: Tribophyceae (xanthophyceae). British Museum (Natural History).</w:t>
      </w:r>
    </w:p>
    <w:bookmarkEnd w:id="577"/>
    <w:bookmarkStart w:id="578"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78"/>
    <w:bookmarkStart w:id="580" w:name="ref-IPCC2023"/>
    <w:p>
      <w:pPr>
        <w:pStyle w:val="Bibliography"/>
      </w:pPr>
      <w:r>
        <w:t xml:space="preserve">Climate Change (IPCC), I.P. on, 2023. Summary for policymakers. IPCC, Geneva, Switzerland.</w:t>
      </w:r>
      <w:r>
        <w:t xml:space="preserve"> </w:t>
      </w:r>
      <w:hyperlink r:id="rId579">
        <w:r>
          <w:rPr>
            <w:rStyle w:val="Hyperlink"/>
          </w:rPr>
          <w:t xml:space="preserve">https://doi.org/10.59327/IPCC/AR6-9789291691647.001</w:t>
        </w:r>
      </w:hyperlink>
    </w:p>
    <w:bookmarkEnd w:id="580"/>
    <w:bookmarkStart w:id="582"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81">
        <w:r>
          <w:rPr>
            <w:rStyle w:val="Hyperlink"/>
          </w:rPr>
          <w:t xml:space="preserve">https://doi.org/10.48670/moi-00311</w:t>
        </w:r>
      </w:hyperlink>
    </w:p>
    <w:bookmarkEnd w:id="582"/>
    <w:bookmarkStart w:id="583"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83"/>
    <w:bookmarkStart w:id="584"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84"/>
    <w:bookmarkStart w:id="585" w:name="ref-collin2019improving"/>
    <w:p>
      <w:pPr>
        <w:pStyle w:val="Bibliography"/>
      </w:pPr>
      <w:r>
        <w:t xml:space="preserve">Collin, A., Dubois, S., James, D., Houet, T., 2019. Improving intertidal reef mapping using UAV surface, red edge, and near-infrared data. Drones 3, 67.</w:t>
      </w:r>
    </w:p>
    <w:bookmarkEnd w:id="585"/>
    <w:bookmarkStart w:id="586"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86"/>
    <w:bookmarkStart w:id="587" w:name="ref-connor2001carbon"/>
    <w:p>
      <w:pPr>
        <w:pStyle w:val="Bibliography"/>
      </w:pPr>
      <w:r>
        <w:t xml:space="preserve">Connor, R.F., Chmura, G.L., Beecher, C.B., 2001. Carbon accumulation in bay of fundy salt marshes: Implications for restoration of reclaimed marshes. Global Biogeochemical Cycles 15, 943–954.</w:t>
      </w:r>
    </w:p>
    <w:bookmarkEnd w:id="587"/>
    <w:bookmarkStart w:id="588" w:name="ref-cooley2023oceans"/>
    <w:p>
      <w:pPr>
        <w:pStyle w:val="Bibliography"/>
      </w:pPr>
      <w:r>
        <w:t xml:space="preserve">Cooley, S., Schoeman, D., Bopp, L., Boyd, P., Donner, S., Kiessling, W., Martinetto, P., Ojea, E., Racault, M., Rost, B., others, 2023. Oceans and coastal ecosystems and their services.</w:t>
      </w:r>
    </w:p>
    <w:bookmarkEnd w:id="588"/>
    <w:bookmarkStart w:id="589"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89"/>
    <w:bookmarkStart w:id="590" w:name="ref-cosby2024accelerating"/>
    <w:p>
      <w:pPr>
        <w:pStyle w:val="Bibliography"/>
      </w:pPr>
      <w:r>
        <w:t xml:space="preserve">Cosby, A., Lebakula, V., Smith, C., Wanik, D., Bergene, K., Rose, A., Swanson, D., Bloom, D., 2024. Accelerating growth of human coastal populations at the global and continent levels: 2000–2018. Scientific Reports 14, 22489.</w:t>
      </w:r>
    </w:p>
    <w:bookmarkEnd w:id="590"/>
    <w:bookmarkStart w:id="592"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91">
        <w:r>
          <w:rPr>
            <w:rStyle w:val="Hyperlink"/>
          </w:rPr>
          <w:t xml:space="preserve">https://doi.org/10.1016/j.ecolind.2020.107018</w:t>
        </w:r>
      </w:hyperlink>
    </w:p>
    <w:bookmarkEnd w:id="592"/>
    <w:bookmarkStart w:id="593"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93"/>
    <w:bookmarkStart w:id="594"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94"/>
    <w:bookmarkStart w:id="596"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95">
        <w:r>
          <w:rPr>
            <w:rStyle w:val="Hyperlink"/>
          </w:rPr>
          <w:t xml:space="preserve">https://doi.org/10.1007/s11099-007-0084-3</w:t>
        </w:r>
      </w:hyperlink>
    </w:p>
    <w:bookmarkEnd w:id="596"/>
    <w:bookmarkStart w:id="597"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97"/>
    <w:bookmarkStart w:id="598"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98"/>
    <w:bookmarkStart w:id="600"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599">
        <w:r>
          <w:rPr>
            <w:rStyle w:val="Hyperlink"/>
          </w:rPr>
          <w:t xml:space="preserve">https://doi.org/10.1016/j.rse.2023.113554</w:t>
        </w:r>
      </w:hyperlink>
    </w:p>
    <w:bookmarkEnd w:id="600"/>
    <w:bookmarkStart w:id="601" w:name="ref-Davies2022b"/>
    <w:p>
      <w:pPr>
        <w:pStyle w:val="Bibliography"/>
      </w:pPr>
      <w:r>
        <w:t xml:space="preserve">Davies, B.F.R., Holmes, L., Attrill, M.J., Sheehan, E.V., 2022. Ecosystem benefits of adopting a whole-site approach to MPA management. Fisheries Management and Ecology.</w:t>
      </w:r>
    </w:p>
    <w:bookmarkEnd w:id="601"/>
    <w:bookmarkStart w:id="603"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602">
        <w:r>
          <w:rPr>
            <w:rStyle w:val="Hyperlink"/>
          </w:rPr>
          <w:t xml:space="preserve">https://doi.org/10.1038/s43247-024-01543-z</w:t>
        </w:r>
      </w:hyperlink>
    </w:p>
    <w:bookmarkEnd w:id="603"/>
    <w:bookmarkStart w:id="605"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604">
        <w:r>
          <w:rPr>
            <w:rStyle w:val="Hyperlink"/>
          </w:rPr>
          <w:t xml:space="preserve">https://doi.org/10.1016/j.rse.2024.114340</w:t>
        </w:r>
      </w:hyperlink>
    </w:p>
    <w:bookmarkEnd w:id="605"/>
    <w:bookmarkStart w:id="607" w:name="ref-BedeGbif"/>
    <w:p>
      <w:pPr>
        <w:pStyle w:val="Bibliography"/>
      </w:pPr>
      <w:r>
        <w:t xml:space="preserve">Davies, B.F.R., Sousa, A.I., Figueira, R., Oiry, S., Gernez, P., Barillé, L., 2023b. Benthic intertidal vegetation from the tagus estuary and aveiro lagoon.</w:t>
      </w:r>
      <w:r>
        <w:t xml:space="preserve"> </w:t>
      </w:r>
      <w:hyperlink r:id="rId606">
        <w:r>
          <w:rPr>
            <w:rStyle w:val="Hyperlink"/>
          </w:rPr>
          <w:t xml:space="preserve">https://doi.org/10.15468/n4ak6x</w:t>
        </w:r>
      </w:hyperlink>
    </w:p>
    <w:bookmarkEnd w:id="607"/>
    <w:bookmarkStart w:id="608" w:name="ref-davis2003review"/>
    <w:p>
      <w:pPr>
        <w:pStyle w:val="Bibliography"/>
      </w:pPr>
      <w:r>
        <w:t xml:space="preserve">Davis, T.A., Volesky, B., Mucci, A., 2003. A review of the biochemistry of heavy metal biosorption by brown algae. Water research 37, 4311–4330.</w:t>
      </w:r>
    </w:p>
    <w:bookmarkEnd w:id="608"/>
    <w:bookmarkStart w:id="609"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609"/>
    <w:bookmarkStart w:id="610" w:name="ref-de1995wind"/>
    <w:p>
      <w:pPr>
        <w:pStyle w:val="Bibliography"/>
      </w:pPr>
      <w:r>
        <w:t xml:space="preserve">De Jorge, V., Van Beusekom, J., 1995. Wind-and tide-induced resuspension of sediment and microphytobenthos from tidal flats in the ems estuary. Limnology and oceanography 40, 776–778.</w:t>
      </w:r>
    </w:p>
    <w:bookmarkEnd w:id="610"/>
    <w:bookmarkStart w:id="611" w:name="ref-decho2000microbial"/>
    <w:p>
      <w:pPr>
        <w:pStyle w:val="Bibliography"/>
      </w:pPr>
      <w:r>
        <w:t xml:space="preserve">Decho, A.W., 2000. Microbial biofilms in intertidal systems: An overview. Continental shelf research 20, 1257–1273.</w:t>
      </w:r>
    </w:p>
    <w:bookmarkEnd w:id="611"/>
    <w:bookmarkStart w:id="612"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612"/>
    <w:bookmarkStart w:id="613" w:name="ref-deguette2022physiological"/>
    <w:p>
      <w:pPr>
        <w:pStyle w:val="Bibliography"/>
      </w:pPr>
      <w:r>
        <w:t xml:space="preserve">Deguette, A., Barrote, I., Silva, J., 2022. Physiological and morphological effects of a marine heatwave on the seagrass cymodocea nodosa. Scientific Reports 12, 7950.</w:t>
      </w:r>
    </w:p>
    <w:bookmarkEnd w:id="613"/>
    <w:bookmarkStart w:id="614"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614"/>
    <w:bookmarkStart w:id="615" w:name="ref-desai2021measuring"/>
    <w:p>
      <w:pPr>
        <w:pStyle w:val="Bibliography"/>
      </w:pPr>
      <w:r>
        <w:t xml:space="preserve">Desai, R.M., Shambaugh, G.E., 2021. Measuring the global impact of destructive and illegal fishing on maritime piracy: A spatial analysis. Plos one 16, e0246835.</w:t>
      </w:r>
    </w:p>
    <w:bookmarkEnd w:id="615"/>
    <w:bookmarkStart w:id="616" w:name="ref-devlin2023nutrients"/>
    <w:p>
      <w:pPr>
        <w:pStyle w:val="Bibliography"/>
      </w:pPr>
      <w:r>
        <w:t xml:space="preserve">Devlin, M., Brodie, J., 2023. Nutrients and eutrophication, in: Marine Pollution–Monitoring, Management and Mitigation. Springer, pp. 75–100.</w:t>
      </w:r>
    </w:p>
    <w:bookmarkEnd w:id="616"/>
    <w:bookmarkStart w:id="618"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617">
        <w:r>
          <w:rPr>
            <w:rStyle w:val="Hyperlink"/>
          </w:rPr>
          <w:t xml:space="preserve">https://doi.org/10.1016/j.rse.2015.01.027</w:t>
        </w:r>
      </w:hyperlink>
    </w:p>
    <w:bookmarkEnd w:id="618"/>
    <w:bookmarkStart w:id="619"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619"/>
    <w:bookmarkStart w:id="621"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620">
        <w:r>
          <w:rPr>
            <w:rStyle w:val="Hyperlink"/>
          </w:rPr>
          <w:t xml:space="preserve">https://doi.org/10.3390/rs14133124</w:t>
        </w:r>
      </w:hyperlink>
    </w:p>
    <w:bookmarkEnd w:id="621"/>
    <w:bookmarkStart w:id="623" w:name="ref-rs14020346"/>
    <w:p>
      <w:pPr>
        <w:pStyle w:val="Bibliography"/>
      </w:pPr>
      <w:r>
        <w:t xml:space="preserve">Douay, F., Verpoorter, C., Duong, G., Spilmont, N., Gevaert, F., 2022b. New hyperspectral procedure to discriminate intertidal macroalgae. Remote Sensing 14.</w:t>
      </w:r>
      <w:r>
        <w:t xml:space="preserve"> </w:t>
      </w:r>
      <w:hyperlink r:id="rId622">
        <w:r>
          <w:rPr>
            <w:rStyle w:val="Hyperlink"/>
          </w:rPr>
          <w:t xml:space="preserve">https://doi.org/10.3390/rs14020346</w:t>
        </w:r>
      </w:hyperlink>
    </w:p>
    <w:bookmarkEnd w:id="623"/>
    <w:bookmarkStart w:id="624" w:name="ref-douay2022new"/>
    <w:p>
      <w:pPr>
        <w:pStyle w:val="Bibliography"/>
      </w:pPr>
      <w:r>
        <w:t xml:space="preserve">Douay, F., Verpoorter, C., Duong, G., Spilmont, N., Gevaert, F., 2022a. New hyperspectral procedure to discriminate intertidal macroalgae. Remote Sensing 14, 346.</w:t>
      </w:r>
    </w:p>
    <w:bookmarkEnd w:id="624"/>
    <w:bookmarkStart w:id="625"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625"/>
    <w:bookmarkStart w:id="626"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626"/>
    <w:bookmarkStart w:id="627" w:name="ref-duarte1991allometric"/>
    <w:p>
      <w:pPr>
        <w:pStyle w:val="Bibliography"/>
      </w:pPr>
      <w:r>
        <w:t xml:space="preserve">Duarte, C.M., 1991. Allometric scaling of seagrass form and productivity. Marine ecology progress series. Oldendorf 77, 289–300.</w:t>
      </w:r>
    </w:p>
    <w:bookmarkEnd w:id="627"/>
    <w:bookmarkStart w:id="628"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628"/>
    <w:bookmarkStart w:id="629"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629"/>
    <w:bookmarkStart w:id="630"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630"/>
    <w:bookmarkStart w:id="631"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631"/>
    <w:bookmarkStart w:id="632"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632"/>
    <w:bookmarkStart w:id="633"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633"/>
    <w:bookmarkStart w:id="635" w:name="ref-electricblue_intertidal_chamber"/>
    <w:p>
      <w:pPr>
        <w:pStyle w:val="Bibliography"/>
      </w:pPr>
      <w:r>
        <w:t xml:space="preserve">Electric Blue, 2023.</w:t>
      </w:r>
      <w:r>
        <w:t xml:space="preserve"> </w:t>
      </w:r>
      <w:hyperlink r:id="rId634">
        <w:r>
          <w:rPr>
            <w:rStyle w:val="Hyperlink"/>
          </w:rPr>
          <w:t xml:space="preserve">Intertidal chamber</w:t>
        </w:r>
      </w:hyperlink>
      <w:r>
        <w:t xml:space="preserve">.</w:t>
      </w:r>
    </w:p>
    <w:bookmarkEnd w:id="635"/>
    <w:bookmarkStart w:id="636"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636"/>
    <w:bookmarkStart w:id="637" w:name="ref-elliott2011challenging"/>
    <w:p>
      <w:pPr>
        <w:pStyle w:val="Bibliography"/>
      </w:pPr>
      <w:r>
        <w:t xml:space="preserve">Elliott, M., Whitfield, A.K., 2011. Challenging paradigms in estuarine ecology and management. Estuarine, Coastal and Shelf Science 94, 306–314.</w:t>
      </w:r>
    </w:p>
    <w:bookmarkEnd w:id="637"/>
    <w:bookmarkStart w:id="638" w:name="ref-elton2020ecology"/>
    <w:p>
      <w:pPr>
        <w:pStyle w:val="Bibliography"/>
      </w:pPr>
      <w:r>
        <w:t xml:space="preserve">Elton, C.S., 2020. The ecology of invasions by animals and plants. Springer Nature.</w:t>
      </w:r>
    </w:p>
    <w:bookmarkEnd w:id="638"/>
    <w:bookmarkStart w:id="639" w:name="ref-sen2cor"/>
    <w:p>
      <w:pPr>
        <w:pStyle w:val="Bibliography"/>
      </w:pPr>
      <w:r>
        <w:t xml:space="preserve">ESA, 2024b. Sen2Cor: Sentinel-2 atmospheric correction processor.</w:t>
      </w:r>
    </w:p>
    <w:bookmarkEnd w:id="639"/>
    <w:bookmarkStart w:id="640" w:name="ref-copernicus_sentinel2"/>
    <w:p>
      <w:pPr>
        <w:pStyle w:val="Bibliography"/>
      </w:pPr>
      <w:r>
        <w:t xml:space="preserve">ESA, 2024a. Copernicus open access hub.</w:t>
      </w:r>
    </w:p>
    <w:bookmarkEnd w:id="640"/>
    <w:bookmarkStart w:id="641" w:name="ref-WFD2000"/>
    <w:p>
      <w:pPr>
        <w:pStyle w:val="Bibliography"/>
      </w:pPr>
      <w:r>
        <w:t xml:space="preserve">European-Commission, n.d. Official Journal of the European Communities L 327, 1–72.</w:t>
      </w:r>
    </w:p>
    <w:bookmarkEnd w:id="641"/>
    <w:bookmarkStart w:id="643" w:name="ref-eurostat_tsa_2023"/>
    <w:p>
      <w:pPr>
        <w:pStyle w:val="Bibliography"/>
      </w:pPr>
      <w:r>
        <w:t xml:space="preserve">Eurostat, 2023. Tourism satellite accounts in europe - 2023 edition. Publications Office of the European Union, Luxembourg.</w:t>
      </w:r>
      <w:r>
        <w:t xml:space="preserve"> </w:t>
      </w:r>
      <w:hyperlink r:id="rId642">
        <w:r>
          <w:rPr>
            <w:rStyle w:val="Hyperlink"/>
          </w:rPr>
          <w:t xml:space="preserve">https://doi.org/10.2785/7794</w:t>
        </w:r>
      </w:hyperlink>
    </w:p>
    <w:bookmarkEnd w:id="643"/>
    <w:bookmarkStart w:id="645" w:name="ref-IMO2020GHG"/>
    <w:p>
      <w:pPr>
        <w:pStyle w:val="Bibliography"/>
      </w:pPr>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w:t>
      </w:r>
      <w:r>
        <w:t xml:space="preserve"> </w:t>
      </w:r>
      <w:hyperlink r:id="rId644">
        <w:r>
          <w:rPr>
            <w:rStyle w:val="Hyperlink"/>
          </w:rPr>
          <w:t xml:space="preserve">Fourth IMO GHG study 2020: Executive summary</w:t>
        </w:r>
      </w:hyperlink>
      <w:r>
        <w:t xml:space="preserve">. International Maritime Organization (IMO), 4 Albert Embankment, London SE1 7SR.</w:t>
      </w:r>
    </w:p>
    <w:bookmarkEnd w:id="645"/>
    <w:bookmarkStart w:id="64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646"/>
    <w:bookmarkStart w:id="647" w:name="ref-farmery2022food"/>
    <w:p>
      <w:pPr>
        <w:pStyle w:val="Bibliography"/>
      </w:pPr>
      <w:r>
        <w:t xml:space="preserve">Farmery, A.K., Alexander, K., Anderson, K., Blanchard, J.L., Carter, C.G., Evans, K., Fischer, M., Fleming, A., Frusher, S., Fulton, E.A., others, 2022. Food for all: Designing sustainable and secure future seafood systems. Reviews in fish biology and fisheries 32, 101–121.</w:t>
      </w:r>
    </w:p>
    <w:bookmarkEnd w:id="647"/>
    <w:bookmarkStart w:id="648" w:name="ref-firth2024invasive"/>
    <w:p>
      <w:pPr>
        <w:pStyle w:val="Bibliography"/>
      </w:pPr>
      <w:r>
        <w:t xml:space="preserve">Firth, L.B., Foggo, A., Watts, T., Knights, A.M., DeAmicis, S., 2024. Invasive macroalgae in native seagrass beds: Vectors of spread and impacts. Annals of Botany 133, 41–50.</w:t>
      </w:r>
    </w:p>
    <w:bookmarkEnd w:id="648"/>
    <w:bookmarkStart w:id="649" w:name="ref-foden2007angiosperms"/>
    <w:p>
      <w:pPr>
        <w:pStyle w:val="Bibliography"/>
      </w:pPr>
      <w:r>
        <w:t xml:space="preserve">Foden, J., Brazier, D., 2007. Angiosperms (seagrass) within the EU water framework directive: A UK perspective. Marine Pollution Bulletin 55, 181–195.</w:t>
      </w:r>
    </w:p>
    <w:bookmarkEnd w:id="649"/>
    <w:bookmarkStart w:id="650"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650"/>
    <w:bookmarkStart w:id="651" w:name="ref-fourqurean2012seagrass"/>
    <w:p>
      <w:pPr>
        <w:pStyle w:val="Bibliography"/>
      </w:pPr>
      <w:r>
        <w:t xml:space="preserve">Fourqurean, J.W., Duarte, C.M., Kennedy, H., Marbà, N., Holmer, M., Mateo, M.A., Apostolaki, E.T., Kendrick, G.A., Krause-Jensen, D., McGlathery, K.J., others, 2012. Seagrass ecosystems as a globally significant carbon stock. Nature geoscience 5, 505–509.</w:t>
      </w:r>
    </w:p>
    <w:bookmarkEnd w:id="651"/>
    <w:bookmarkStart w:id="652"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652"/>
    <w:bookmarkStart w:id="653"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653"/>
    <w:bookmarkStart w:id="655" w:name="ref-R-rsample"/>
    <w:p>
      <w:pPr>
        <w:pStyle w:val="Bibliography"/>
      </w:pPr>
      <w:r>
        <w:t xml:space="preserve">Frick, H., Chow, F., Kuhn, M., Mahoney, M., Silge, J., Wickham, H., 2024.</w:t>
      </w:r>
      <w:r>
        <w:t xml:space="preserve"> </w:t>
      </w:r>
      <w:hyperlink r:id="rId654">
        <w:r>
          <w:rPr>
            <w:rStyle w:val="Hyperlink"/>
          </w:rPr>
          <w:t xml:space="preserve">Rsample: General resampling infrastructure</w:t>
        </w:r>
      </w:hyperlink>
      <w:r>
        <w:t xml:space="preserve">.</w:t>
      </w:r>
    </w:p>
    <w:bookmarkEnd w:id="655"/>
    <w:bookmarkStart w:id="656" w:name="ref-fyfe2003spatial"/>
    <w:p>
      <w:pPr>
        <w:pStyle w:val="Bibliography"/>
      </w:pPr>
      <w:r>
        <w:t xml:space="preserve">Fyfe, S., 2003. Spatial and temporal variation in spectral reflectance: Are seagrass species spectrally distinct? Limnology and Oceanography 48, 464–479.</w:t>
      </w:r>
    </w:p>
    <w:bookmarkEnd w:id="656"/>
    <w:bookmarkStart w:id="657" w:name="ref-gacia1999approach"/>
    <w:p>
      <w:pPr>
        <w:pStyle w:val="Bibliography"/>
      </w:pPr>
      <w:r>
        <w:t xml:space="preserve">Gacia, E., Granata, T., Duarte, C., 1999. An approach to measurement of particle flux and sediment retention within seagrass (posidonia oceanica) meadows. Aquatic Botany 65, 255–268.</w:t>
      </w:r>
    </w:p>
    <w:bookmarkEnd w:id="657"/>
    <w:bookmarkStart w:id="658" w:name="ref-gallardo2016global"/>
    <w:p>
      <w:pPr>
        <w:pStyle w:val="Bibliography"/>
      </w:pPr>
      <w:r>
        <w:t xml:space="preserve">Gallardo, B., Clavero, M., Sánchez, M.I., Vilà, M., 2016. Global ecological impacts of invasive species in aquatic ecosystems. Global change biology 22, 151–163.</w:t>
      </w:r>
    </w:p>
    <w:bookmarkEnd w:id="658"/>
    <w:bookmarkStart w:id="659"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659"/>
    <w:bookmarkStart w:id="660"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660"/>
    <w:bookmarkStart w:id="661" w:name="ref-gardner2018global"/>
    <w:p>
      <w:pPr>
        <w:pStyle w:val="Bibliography"/>
      </w:pPr>
      <w:r>
        <w:t xml:space="preserve">Gardner, R.C., Finlayson, C., 2018. Global wetland outlook: State of the world’s wetlands and their services to people, in: Ramsar Convention Secretariat. pp. 2020–5.</w:t>
      </w:r>
    </w:p>
    <w:bookmarkEnd w:id="661"/>
    <w:bookmarkStart w:id="663"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62">
        <w:r>
          <w:rPr>
            <w:rStyle w:val="Hyperlink"/>
          </w:rPr>
          <w:t xml:space="preserve">https://doi.org/10.1016/j.ecss.2021.107320</w:t>
        </w:r>
      </w:hyperlink>
    </w:p>
    <w:bookmarkEnd w:id="663"/>
    <w:bookmarkStart w:id="664"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64"/>
    <w:bookmarkStart w:id="665"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65"/>
    <w:bookmarkStart w:id="666"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66"/>
    <w:bookmarkStart w:id="667" w:name="ref-green2021historical"/>
    <w:p>
      <w:pPr>
        <w:pStyle w:val="Bibliography"/>
      </w:pPr>
      <w:r>
        <w:t xml:space="preserve">Green, A.E., Unsworth, R.K., Chadwick, M.A., Jones, P.J., 2021. Historical analysis exposes catastrophic seagrass loss for the united kingdom. Frontiers in plant science 12, 629962.</w:t>
      </w:r>
    </w:p>
    <w:bookmarkEnd w:id="667"/>
    <w:bookmarkStart w:id="668" w:name="ref-green2021functional"/>
    <w:p>
      <w:pPr>
        <w:pStyle w:val="Bibliography"/>
      </w:pPr>
      <w:r>
        <w:t xml:space="preserve">Green, S.J., Grosholz, E.D., 2021. Functional eradication as a framework for invasive species control. Frontiers in Ecology and the Environment 19, 98–107.</w:t>
      </w:r>
    </w:p>
    <w:bookmarkEnd w:id="668"/>
    <w:bookmarkStart w:id="670" w:name="ref-R-vip"/>
    <w:p>
      <w:pPr>
        <w:pStyle w:val="Bibliography"/>
      </w:pPr>
      <w:r>
        <w:t xml:space="preserve">Greenwell, B.M., Boehmke, B.C., 2020.</w:t>
      </w:r>
      <w:r>
        <w:t xml:space="preserve"> </w:t>
      </w:r>
      <w:hyperlink r:id="rId669">
        <w:r>
          <w:rPr>
            <w:rStyle w:val="Hyperlink"/>
          </w:rPr>
          <w:t xml:space="preserve">Variable importance plots—an introduction to the vip package</w:t>
        </w:r>
      </w:hyperlink>
      <w:r>
        <w:t xml:space="preserve">. The R Journal 12, 343–366.</w:t>
      </w:r>
    </w:p>
    <w:bookmarkEnd w:id="670"/>
    <w:bookmarkStart w:id="671" w:name="ref-grizel1991introduction"/>
    <w:p>
      <w:pPr>
        <w:pStyle w:val="Bibliography"/>
      </w:pPr>
      <w:r>
        <w:t xml:space="preserve">Grizel, H., Heral, M., 1991. Introduction into france of the japanese oyster (crassostrea gigas). ICES Journal of Marine Science 47, 399–403.</w:t>
      </w:r>
    </w:p>
    <w:bookmarkEnd w:id="671"/>
    <w:bookmarkStart w:id="672" w:name="ref-guan2023overview"/>
    <w:p>
      <w:pPr>
        <w:pStyle w:val="Bibliography"/>
      </w:pPr>
      <w:r>
        <w:t xml:space="preserve">Guan, S., Brookens, T., 2023. An overview of research efforts to understand the effects of underwater sound on cetaceans. Water Biology and Security 2, 100141.</w:t>
      </w:r>
    </w:p>
    <w:bookmarkEnd w:id="672"/>
    <w:bookmarkStart w:id="673"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73"/>
    <w:bookmarkStart w:id="674"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74"/>
    <w:bookmarkStart w:id="675" w:name="ref-Guyot1990"/>
    <w:p>
      <w:pPr>
        <w:pStyle w:val="Bibliography"/>
      </w:pPr>
      <w:r>
        <w:t xml:space="preserve">Guyot, G., 1990. Optical properties of vegetation canopies. Optical properties of vegetation canopies. 19–43.</w:t>
      </w:r>
    </w:p>
    <w:bookmarkEnd w:id="675"/>
    <w:bookmarkStart w:id="676" w:name="ref-hagger2022drivers"/>
    <w:p>
      <w:pPr>
        <w:pStyle w:val="Bibliography"/>
      </w:pPr>
      <w:r>
        <w:t xml:space="preserve">Hagger, V., Worthington, T.A., Lovelock, C.E., Adame, M.F., Amano, T., Brown, B.M., Friess, D.A., Landis, E., Mumby, P.J., Morrison, T.H., others, 2022. Drivers of global mangrove loss and gain in social-ecological systems. Nature Communications 13, 6373.</w:t>
      </w:r>
    </w:p>
    <w:bookmarkEnd w:id="676"/>
    <w:bookmarkStart w:id="677"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77"/>
    <w:bookmarkStart w:id="678" w:name="ref-hanley2024victim"/>
    <w:p>
      <w:pPr>
        <w:pStyle w:val="Bibliography"/>
      </w:pPr>
      <w:r>
        <w:t xml:space="preserve">Hanley, M.E., Firth, L.B., Foggo, A., 2024. Victim of changes? Marine macroalgae in a changing world. Annals of Botany 133, 1–16.</w:t>
      </w:r>
    </w:p>
    <w:bookmarkEnd w:id="678"/>
    <w:bookmarkStart w:id="679" w:name="ref-haro2023biointertidal"/>
    <w:p>
      <w:pPr>
        <w:pStyle w:val="Bibliography"/>
      </w:pPr>
      <w:r>
        <w:t xml:space="preserve">Haro, S., Jimenez-Reina, J., Bermejo, R., Morrison, L., 2023. BioIntertidal mapper software: A satellite approach for NDVI-based intertidal habitat mapping. SoftwareX 24, 101520.</w:t>
      </w:r>
    </w:p>
    <w:bookmarkEnd w:id="679"/>
    <w:bookmarkStart w:id="680" w:name="ref-hassan2005ecosystems"/>
    <w:p>
      <w:pPr>
        <w:pStyle w:val="Bibliography"/>
      </w:pPr>
      <w:r>
        <w:t xml:space="preserve">Hassan, R., Scholes, R., Ash, N., 2005. Ecosystems and human well-being: Current state and trends.</w:t>
      </w:r>
    </w:p>
    <w:bookmarkEnd w:id="680"/>
    <w:bookmarkStart w:id="682"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81">
        <w:r>
          <w:rPr>
            <w:rStyle w:val="Hyperlink"/>
          </w:rPr>
          <w:t xml:space="preserve">https://doi.org/10.3390/app8122688</w:t>
        </w:r>
      </w:hyperlink>
    </w:p>
    <w:bookmarkEnd w:id="682"/>
    <w:bookmarkStart w:id="683" w:name="ref-hemminga1998root"/>
    <w:p>
      <w:pPr>
        <w:pStyle w:val="Bibliography"/>
      </w:pPr>
      <w:r>
        <w:t xml:space="preserve">Hemminga, M., 1998. The root/rhizome system of seagrasses: An asset and a burden. Journal of Sea Research 39, 183–196.</w:t>
      </w:r>
    </w:p>
    <w:bookmarkEnd w:id="683"/>
    <w:bookmarkStart w:id="685"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84">
        <w:r>
          <w:rPr>
            <w:rStyle w:val="Hyperlink"/>
          </w:rPr>
          <w:t xml:space="preserve">https://doi.org/10.1016/j.rse.2015.05.023</w:t>
        </w:r>
      </w:hyperlink>
    </w:p>
    <w:bookmarkEnd w:id="685"/>
    <w:bookmarkStart w:id="687" w:name="ref-terrapck"/>
    <w:p>
      <w:pPr>
        <w:pStyle w:val="Bibliography"/>
      </w:pPr>
      <w:r>
        <w:t xml:space="preserve">Hijmans, R.J., 2024.</w:t>
      </w:r>
      <w:r>
        <w:t xml:space="preserve"> </w:t>
      </w:r>
      <w:hyperlink r:id="rId686">
        <w:r>
          <w:rPr>
            <w:rStyle w:val="Hyperlink"/>
          </w:rPr>
          <w:t xml:space="preserve">Terra: Spatial data analysis</w:t>
        </w:r>
      </w:hyperlink>
      <w:r>
        <w:t xml:space="preserve">.</w:t>
      </w:r>
    </w:p>
    <w:bookmarkEnd w:id="687"/>
    <w:bookmarkStart w:id="688"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88"/>
    <w:bookmarkStart w:id="689"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89"/>
    <w:bookmarkStart w:id="690" w:name="ref-hobohm2021coastal"/>
    <w:p>
      <w:pPr>
        <w:pStyle w:val="Bibliography"/>
      </w:pPr>
      <w:r>
        <w:t xml:space="preserve">Hobohm, C., Schaminée, J., Rooijen, N. van, 2021. Coastal habitats, shallow seas and inland saline steppes: Ecology, distribution, threats and challenges. Perspectives for biodiversity and ecosystems 279–310.</w:t>
      </w:r>
    </w:p>
    <w:bookmarkEnd w:id="690"/>
    <w:bookmarkStart w:id="691"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91"/>
    <w:bookmarkStart w:id="693"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92">
        <w:r>
          <w:rPr>
            <w:rStyle w:val="Hyperlink"/>
          </w:rPr>
          <w:t xml:space="preserve">https://doi.org/10.1016/j.envpol.2021.117731</w:t>
        </w:r>
      </w:hyperlink>
    </w:p>
    <w:bookmarkEnd w:id="693"/>
    <w:bookmarkStart w:id="694" w:name="ref-howard2018fastai"/>
    <w:p>
      <w:pPr>
        <w:pStyle w:val="Bibliography"/>
      </w:pPr>
      <w:r>
        <w:t xml:space="preserve">Howard, J., others, 2018. Fastai.</w:t>
      </w:r>
    </w:p>
    <w:bookmarkEnd w:id="694"/>
    <w:bookmarkStart w:id="696"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95">
        <w:r>
          <w:rPr>
            <w:rStyle w:val="Hyperlink"/>
          </w:rPr>
          <w:t xml:space="preserve">https://doi.org/10.1016/j.rse.2017.01.037</w:t>
        </w:r>
      </w:hyperlink>
    </w:p>
    <w:bookmarkEnd w:id="696"/>
    <w:bookmarkStart w:id="697" w:name="ref-hu2021mapping"/>
    <w:p>
      <w:pPr>
        <w:pStyle w:val="Bibliography"/>
      </w:pPr>
      <w:r>
        <w:t xml:space="preserve">Hu, W., Zhang, D., Chen, B., Liu, X., Ye, X., Jiang, Q., Zheng, X., Du, J., Chen, S., 2021. Mapping the seagrass conservation and restoration priorities: Coupling habitat suitability and anthropogenic pressures. Ecological Indicators 129, 107960.</w:t>
      </w:r>
    </w:p>
    <w:bookmarkEnd w:id="697"/>
    <w:bookmarkStart w:id="699" w:name="ref-ign"/>
    <w:p>
      <w:pPr>
        <w:pStyle w:val="Bibliography"/>
      </w:pPr>
      <w:r>
        <w:t xml:space="preserve">IGN, 2024a.</w:t>
      </w:r>
      <w:r>
        <w:t xml:space="preserve"> </w:t>
      </w:r>
      <w:hyperlink r:id="rId698">
        <w:r>
          <w:rPr>
            <w:rStyle w:val="Hyperlink"/>
          </w:rPr>
          <w:t xml:space="preserve">Institut national de l’information géographique et forestiere (IGN)</w:t>
        </w:r>
      </w:hyperlink>
      <w:r>
        <w:t xml:space="preserve">.</w:t>
      </w:r>
    </w:p>
    <w:bookmarkEnd w:id="699"/>
    <w:bookmarkStart w:id="700" w:name="ref-RemonterLeTempsIGN"/>
    <w:p>
      <w:pPr>
        <w:pStyle w:val="Bibliography"/>
      </w:pPr>
      <w:r>
        <w:t xml:space="preserve">IGN, 2024b. Remonter le temps.</w:t>
      </w:r>
    </w:p>
    <w:bookmarkEnd w:id="700"/>
    <w:bookmarkStart w:id="701"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701"/>
    <w:bookmarkStart w:id="703" w:name="ref-ioc_sea_level_lecy"/>
    <w:p>
      <w:pPr>
        <w:pStyle w:val="Bibliography"/>
      </w:pPr>
      <w:r>
        <w:t xml:space="preserve">IOC, n.d.</w:t>
      </w:r>
      <w:r>
        <w:t xml:space="preserve"> </w:t>
      </w:r>
      <w:hyperlink r:id="rId702">
        <w:r>
          <w:rPr>
            <w:rStyle w:val="Hyperlink"/>
          </w:rPr>
          <w:t xml:space="preserve">Intergovernmental oceanographic commission ; sea level monitoring station - le conquet, france (LECY)</w:t>
        </w:r>
      </w:hyperlink>
      <w:r>
        <w:t xml:space="preserve">.</w:t>
      </w:r>
    </w:p>
    <w:bookmarkEnd w:id="703"/>
    <w:bookmarkStart w:id="704" w:name="ref-ismail2020therapeutic"/>
    <w:p>
      <w:pPr>
        <w:pStyle w:val="Bibliography"/>
      </w:pPr>
      <w:r>
        <w:t xml:space="preserve">Ismail, M.M., Alotaibi, B.S., El-Sheekh, M.M., 2020. Therapeutic uses of red macroalgae. Molecules 25, 4411.</w:t>
      </w:r>
    </w:p>
    <w:bookmarkEnd w:id="704"/>
    <w:bookmarkStart w:id="706" w:name="ref-itopf_statistics"/>
    <w:p>
      <w:pPr>
        <w:pStyle w:val="Bibliography"/>
      </w:pPr>
      <w:r>
        <w:t xml:space="preserve">ITOPF, I.T.O.P.F., 2023.</w:t>
      </w:r>
      <w:r>
        <w:t xml:space="preserve"> </w:t>
      </w:r>
      <w:hyperlink r:id="rId705">
        <w:r>
          <w:rPr>
            <w:rStyle w:val="Hyperlink"/>
          </w:rPr>
          <w:t xml:space="preserve">Statistics - ITOPF</w:t>
        </w:r>
      </w:hyperlink>
      <w:r>
        <w:t xml:space="preserve">.</w:t>
      </w:r>
    </w:p>
    <w:bookmarkEnd w:id="706"/>
    <w:bookmarkStart w:id="707"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707"/>
    <w:bookmarkStart w:id="708"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708"/>
    <w:bookmarkStart w:id="709"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709"/>
    <w:bookmarkStart w:id="710"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710"/>
    <w:bookmarkStart w:id="712"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711">
        <w:r>
          <w:rPr>
            <w:rStyle w:val="Hyperlink"/>
          </w:rPr>
          <w:t xml:space="preserve">https://doi.org/10.1016/S0304-4238(05)80016-0</w:t>
        </w:r>
      </w:hyperlink>
    </w:p>
    <w:bookmarkEnd w:id="712"/>
    <w:bookmarkStart w:id="714"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713">
        <w:r>
          <w:rPr>
            <w:rStyle w:val="Hyperlink"/>
          </w:rPr>
          <w:t xml:space="preserve">https://doi.org/10.1177/0309133309339563</w:t>
        </w:r>
      </w:hyperlink>
    </w:p>
    <w:bookmarkEnd w:id="714"/>
    <w:bookmarkStart w:id="715" w:name="ref-joyce2023"/>
    <w:p>
      <w:pPr>
        <w:pStyle w:val="Bibliography"/>
      </w:pPr>
      <w:r>
        <w:t xml:space="preserve">Joyce, K.E., Fickas, K.C., Kalamandeen, M., 2023. The unique value proposition for using drones to map coastal ecosystems. Cambridge Prisms: Coastal Futures 1, e6.</w:t>
      </w:r>
    </w:p>
    <w:bookmarkEnd w:id="715"/>
    <w:bookmarkStart w:id="716" w:name="ref-karakassis2005contribution"/>
    <w:p>
      <w:pPr>
        <w:pStyle w:val="Bibliography"/>
      </w:pPr>
      <w:r>
        <w:t xml:space="preserve">Karakassis, I., Pitta, P., Krom, M.D., 2005. Contribution of fish farming to the nutrient loading of the mediterranean. Scientia Marina 69, 313–321.</w:t>
      </w:r>
    </w:p>
    <w:bookmarkEnd w:id="716"/>
    <w:bookmarkStart w:id="717" w:name="ref-kattenborn2021review"/>
    <w:p>
      <w:pPr>
        <w:pStyle w:val="Bibliography"/>
      </w:pPr>
      <w:r>
        <w:t xml:space="preserve">Kattenborn, T., Leitloff, J., Schiefer, F., Hinz, S., 2021. Review on convolutional neural networks (CNN) in vegetation remote sensing. ISPRS journal of photogrammetry and remote sensing 173, 24–49.</w:t>
      </w:r>
    </w:p>
    <w:bookmarkEnd w:id="717"/>
    <w:bookmarkStart w:id="718"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718"/>
    <w:bookmarkStart w:id="719" w:name="ref-Kirk1994"/>
    <w:p>
      <w:pPr>
        <w:pStyle w:val="Bibliography"/>
      </w:pPr>
      <w:r>
        <w:t xml:space="preserve">Kirk, J.T., 1994. Light and photosynthesis in aquatic ecosystems. Cambridge university press.</w:t>
      </w:r>
    </w:p>
    <w:bookmarkEnd w:id="719"/>
    <w:bookmarkStart w:id="720" w:name="ref-klemas2012remote"/>
    <w:p>
      <w:pPr>
        <w:pStyle w:val="Bibliography"/>
      </w:pPr>
      <w:r>
        <w:t xml:space="preserve">Klemas, V., 2012. Remote sensing of algal blooms: An overview with case studies. Journal of coastal research 28, 34–43.</w:t>
      </w:r>
    </w:p>
    <w:bookmarkEnd w:id="720"/>
    <w:bookmarkStart w:id="722"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721">
        <w:r>
          <w:rPr>
            <w:rStyle w:val="Hyperlink"/>
          </w:rPr>
          <w:t xml:space="preserve">https://doi.org/10.1016/S0034-4257(70)80021-9</w:t>
        </w:r>
      </w:hyperlink>
    </w:p>
    <w:bookmarkEnd w:id="722"/>
    <w:bookmarkStart w:id="723"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723"/>
    <w:bookmarkStart w:id="724"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724"/>
    <w:bookmarkStart w:id="725"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725"/>
    <w:bookmarkStart w:id="726"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726"/>
    <w:bookmarkStart w:id="728"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727">
        <w:r>
          <w:rPr>
            <w:rStyle w:val="Hyperlink"/>
          </w:rPr>
          <w:t xml:space="preserve">https://doi.org/10.1063/1.44433</w:t>
        </w:r>
      </w:hyperlink>
    </w:p>
    <w:bookmarkEnd w:id="728"/>
    <w:bookmarkStart w:id="730" w:name="ref-R-yardstick"/>
    <w:p>
      <w:pPr>
        <w:pStyle w:val="Bibliography"/>
      </w:pPr>
      <w:r>
        <w:t xml:space="preserve">Kuhn, M., Vaughan, D., Hvitfeldt, E., 2024.</w:t>
      </w:r>
      <w:r>
        <w:t xml:space="preserve"> </w:t>
      </w:r>
      <w:hyperlink r:id="rId729">
        <w:r>
          <w:rPr>
            <w:rStyle w:val="Hyperlink"/>
          </w:rPr>
          <w:t xml:space="preserve">Yardstick: Tidy characterizations of model performance</w:t>
        </w:r>
      </w:hyperlink>
      <w:r>
        <w:t xml:space="preserve">.</w:t>
      </w:r>
    </w:p>
    <w:bookmarkEnd w:id="730"/>
    <w:bookmarkStart w:id="732" w:name="ref-Rtidymodels"/>
    <w:p>
      <w:pPr>
        <w:pStyle w:val="Bibliography"/>
      </w:pPr>
      <w:r>
        <w:t xml:space="preserve">Kuhn, M., Wickham, H., 2020.</w:t>
      </w:r>
      <w:r>
        <w:t xml:space="preserve"> </w:t>
      </w:r>
      <w:hyperlink r:id="rId731">
        <w:r>
          <w:rPr>
            <w:rStyle w:val="Hyperlink"/>
          </w:rPr>
          <w:t xml:space="preserve">Tidymodels: A collection of packages for modeling and machine learning using tidyverse principles.</w:t>
        </w:r>
      </w:hyperlink>
    </w:p>
    <w:bookmarkEnd w:id="732"/>
    <w:bookmarkStart w:id="734"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733">
        <w:r>
          <w:rPr>
            <w:rStyle w:val="Hyperlink"/>
          </w:rPr>
          <w:t xml:space="preserve">https://doi.org/10.1016/j.ecss.2005.12.004</w:t>
        </w:r>
      </w:hyperlink>
    </w:p>
    <w:bookmarkEnd w:id="734"/>
    <w:bookmarkStart w:id="735"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735"/>
    <w:bookmarkStart w:id="736" w:name="ref-lakshmi2021coastal"/>
    <w:p>
      <w:pPr>
        <w:pStyle w:val="Bibliography"/>
      </w:pPr>
      <w:r>
        <w:t xml:space="preserve">Lakshmi, A., 2021. Coastal ecosystem services &amp; human wellbeing. Indian Journal of Medical Research 153, 382–387.</w:t>
      </w:r>
    </w:p>
    <w:bookmarkEnd w:id="736"/>
    <w:bookmarkStart w:id="737" w:name="ref-lariosa2024drone"/>
    <w:p>
      <w:pPr>
        <w:pStyle w:val="Bibliography"/>
      </w:pPr>
      <w:r>
        <w:t xml:space="preserve">Lariosa, I.M., Pao, J., Banglos, C.A., Paradela, I., Aleluya, E.R., Salaan, C.J., Premachandra, C., 2024. Drone-based automatic water sampling system. IEEE Access.</w:t>
      </w:r>
    </w:p>
    <w:bookmarkEnd w:id="737"/>
    <w:bookmarkStart w:id="738"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738"/>
    <w:bookmarkStart w:id="739" w:name="ref-laurent2024intertidal"/>
    <w:p>
      <w:pPr>
        <w:pStyle w:val="Bibliography"/>
      </w:pPr>
      <w:r>
        <w:t xml:space="preserve">Laurent, C., 2024. Intertidal seagrass restoration in the natural marine park of arachon bay. Ecorestoration: RNS Technical Series.</w:t>
      </w:r>
    </w:p>
    <w:bookmarkEnd w:id="739"/>
    <w:bookmarkStart w:id="740"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740"/>
    <w:bookmarkStart w:id="741" w:name="ref-lee2023application"/>
    <w:p>
      <w:pPr>
        <w:pStyle w:val="Bibliography"/>
      </w:pPr>
      <w:r>
        <w:t xml:space="preserve">Lee, J., Jo, H., Oh, J., 2023. Application of drone LiDAR survey for evaluation of a long-term consolidation settlement of large land reclamation. Applied Sciences 13, 8277.</w:t>
      </w:r>
    </w:p>
    <w:bookmarkEnd w:id="741"/>
    <w:bookmarkStart w:id="742"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742"/>
    <w:bookmarkStart w:id="743" w:name="ref-hsdar"/>
    <w:p>
      <w:pPr>
        <w:pStyle w:val="Bibliography"/>
      </w:pPr>
      <w:r>
        <w:t xml:space="preserve">Lehnert, L.W., Meyer, H., Bendix, J., 2017.</w:t>
      </w:r>
    </w:p>
    <w:bookmarkEnd w:id="743"/>
    <w:bookmarkStart w:id="744"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744"/>
    <w:bookmarkStart w:id="745"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745"/>
    <w:bookmarkStart w:id="746"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746"/>
    <w:bookmarkStart w:id="747" w:name="ref-liu2025field"/>
    <w:p>
      <w:pPr>
        <w:pStyle w:val="Bibliography"/>
      </w:pPr>
      <w:r>
        <w:t xml:space="preserve">Liu, Y., Yang, X., Lin, Y., Su, Y., Zhang, J., Deng, Y., Zheng, C., 2025. Field detection of CODMn with portable optical emission spectrometer coupling with drone-based water sampler. Sensors and Actuators B: Chemical 431, 137430.</w:t>
      </w:r>
    </w:p>
    <w:bookmarkEnd w:id="747"/>
    <w:bookmarkStart w:id="748"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748"/>
    <w:bookmarkStart w:id="749"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749"/>
    <w:bookmarkStart w:id="750" w:name="ref-loarie2009velocity"/>
    <w:p>
      <w:pPr>
        <w:pStyle w:val="Bibliography"/>
      </w:pPr>
      <w:r>
        <w:t xml:space="preserve">Loarie, S.R., Duffy, P.B., Hamilton, H., Asner, G.P., Field, C.B., Ackerly, D.D., 2009. The velocity of climate change. Nature 462, 1052–1055.</w:t>
      </w:r>
    </w:p>
    <w:bookmarkEnd w:id="750"/>
    <w:bookmarkStart w:id="751"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751"/>
    <w:bookmarkStart w:id="752" w:name="ref-de2020seagrass"/>
    <w:p>
      <w:pPr>
        <w:pStyle w:val="Bibliography"/>
      </w:pPr>
      <w:r>
        <w:t xml:space="preserve">Los Santos, C.B. de, Olivé, I., Moreira, M., Silva, A., Freitas, C., Luna, R.A., Quental-Ferreira, H., Martins, M., Costa, M.M., Silva, J., others, 2020. Seagrass meadows improve inflowing water quality in aquaculture ponds. Aquaculture 528, 735502.</w:t>
      </w:r>
    </w:p>
    <w:bookmarkEnd w:id="752"/>
    <w:bookmarkStart w:id="753"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53"/>
    <w:bookmarkStart w:id="754" w:name="ref-louime2017sargassum"/>
    <w:p>
      <w:pPr>
        <w:pStyle w:val="Bibliography"/>
      </w:pPr>
      <w:r>
        <w:t xml:space="preserve">Louime, C., Fortune, J., Gervais, G., 2017. Sargassum invasion of coastal environments: A growing concern. American Journal of Environmental Sciences 13, 58–64.</w:t>
      </w:r>
    </w:p>
    <w:bookmarkEnd w:id="754"/>
    <w:bookmarkStart w:id="755" w:name="ref-lovelock2017mangrove"/>
    <w:p>
      <w:pPr>
        <w:pStyle w:val="Bibliography"/>
      </w:pPr>
      <w:r>
        <w:t xml:space="preserve">Lovelock, C.E., Feller, I.C., Reef, R., Hickey, S., Ball, M.C., 2017. Mangrove dieback during fluctuating sea levels. Scientific Reports 7, 1680.</w:t>
      </w:r>
    </w:p>
    <w:bookmarkEnd w:id="755"/>
    <w:bookmarkStart w:id="756"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756"/>
    <w:bookmarkStart w:id="757"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757"/>
    <w:bookmarkStart w:id="758" w:name="ref-malekmohamadi2020review"/>
    <w:p>
      <w:pPr>
        <w:pStyle w:val="Bibliography"/>
      </w:pPr>
      <w:r>
        <w:t xml:space="preserve">Malekmohamadi Faradonbe, S., Safi-Esfahani, F., Karimian-Kelishadrokhi, M., 2020. A review on neural turing machine (NTM). SN Computer Science 1, 333.</w:t>
      </w:r>
    </w:p>
    <w:bookmarkEnd w:id="758"/>
    <w:bookmarkStart w:id="760" w:name="ref-malvern_panalytical_rs3"/>
    <w:p>
      <w:pPr>
        <w:pStyle w:val="Bibliography"/>
      </w:pPr>
      <w:r>
        <w:t xml:space="preserve">Malvern Panalytical, 2023.</w:t>
      </w:r>
      <w:r>
        <w:t xml:space="preserve"> </w:t>
      </w:r>
      <w:hyperlink r:id="rId759">
        <w:r>
          <w:rPr>
            <w:rStyle w:val="Hyperlink"/>
          </w:rPr>
          <w:t xml:space="preserve">RS3 software</w:t>
        </w:r>
      </w:hyperlink>
      <w:r>
        <w:t xml:space="preserve">.</w:t>
      </w:r>
    </w:p>
    <w:bookmarkEnd w:id="760"/>
    <w:bookmarkStart w:id="761"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61"/>
    <w:bookmarkStart w:id="762" w:name="ref-marba2010mediterranean"/>
    <w:p>
      <w:pPr>
        <w:pStyle w:val="Bibliography"/>
      </w:pPr>
      <w:r>
        <w:t xml:space="preserve">Marbà, N., Duarte, C.M., 2010. Mediterranean warming triggers seagrass (posidonia oceanica) shoot mortality. Global change biology 16, 2366–2375.</w:t>
      </w:r>
    </w:p>
    <w:bookmarkEnd w:id="762"/>
    <w:bookmarkStart w:id="763"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63"/>
    <w:bookmarkStart w:id="764"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64"/>
    <w:bookmarkStart w:id="765" w:name="ref-martinez2007coasts"/>
    <w:p>
      <w:pPr>
        <w:pStyle w:val="Bibliography"/>
      </w:pPr>
      <w:r>
        <w:t xml:space="preserve">Martı́nez, M.L., Intralawan, A., Vázquez, G., Pérez-Maqueo, O., Sutton, P., Landgrave, R., 2007. The coasts of our world: Ecological, economic and social importance. Ecological economics 63, 254–272.</w:t>
      </w:r>
    </w:p>
    <w:bookmarkEnd w:id="765"/>
    <w:bookmarkStart w:id="766" w:name="ref-marzuki2021mechanism"/>
    <w:p>
      <w:pPr>
        <w:pStyle w:val="Bibliography"/>
      </w:pPr>
      <w:r>
        <w:t xml:space="preserve">Marzuki, O.F., Teo, E.Y.L., Rafie, A.S.M., 2021. The mechanism of drone seeding technology: A review. Malays. For 84, 349–358.</w:t>
      </w:r>
    </w:p>
    <w:bookmarkEnd w:id="766"/>
    <w:bookmarkStart w:id="767"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67"/>
    <w:bookmarkStart w:id="769"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68">
        <w:r>
          <w:rPr>
            <w:rStyle w:val="Hyperlink"/>
          </w:rPr>
          <w:t xml:space="preserve">https://doi.org/10.3390/d15020161</w:t>
        </w:r>
      </w:hyperlink>
    </w:p>
    <w:bookmarkEnd w:id="769"/>
    <w:bookmarkStart w:id="770"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70"/>
    <w:bookmarkStart w:id="771" w:name="ref-mcculloch1943logical"/>
    <w:p>
      <w:pPr>
        <w:pStyle w:val="Bibliography"/>
      </w:pPr>
      <w:r>
        <w:t xml:space="preserve">McCulloch, W.S., Pitts, W., 1943. A logical calculus of the ideas immanent in nervous activity. The bulletin of mathematical biophysics 5, 115–133.</w:t>
      </w:r>
    </w:p>
    <w:bookmarkEnd w:id="771"/>
    <w:bookmarkStart w:id="773"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772">
        <w:r>
          <w:rPr>
            <w:rStyle w:val="Hyperlink"/>
          </w:rPr>
          <w:t xml:space="preserve">https://doi.org/10.3390/rs11060704</w:t>
        </w:r>
      </w:hyperlink>
    </w:p>
    <w:bookmarkEnd w:id="773"/>
    <w:bookmarkStart w:id="774" w:name="ref-mckenzie2020global"/>
    <w:p>
      <w:pPr>
        <w:pStyle w:val="Bibliography"/>
      </w:pPr>
      <w:r>
        <w:t xml:space="preserve">McKenzie, L.J., Nordlund, L.M., Jones, B.L., Cullen-Unsworth, L.C., Roelfsema, C., Unsworth, R.K., 2020. The global distribution of seagrass meadows. Environmental Research Letters 15, 074041.</w:t>
      </w:r>
    </w:p>
    <w:bookmarkEnd w:id="774"/>
    <w:bookmarkStart w:id="775" w:name="ref-mcroy1977production"/>
    <w:p>
      <w:pPr>
        <w:pStyle w:val="Bibliography"/>
      </w:pPr>
      <w:r>
        <w:t xml:space="preserve">McRoy, C.P., McMillan, C., 1977. Production ecology and physiology of seagrasses.</w:t>
      </w:r>
    </w:p>
    <w:bookmarkEnd w:id="775"/>
    <w:bookmarkStart w:id="776"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776"/>
    <w:bookmarkStart w:id="777"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77"/>
    <w:bookmarkStart w:id="778" w:name="ref-meleder2018microphytobenthos"/>
    <w:p>
      <w:pPr>
        <w:pStyle w:val="Bibliography"/>
      </w:pPr>
      <w:r>
        <w:t xml:space="preserve">Méléder, V., Jesus, B., Barnett, A., Barillé, L., Lavaud, J., 2018. Microphytobenthos primary production estimated by hyperspectral reflectance. PloS one 13, e0197093.</w:t>
      </w:r>
    </w:p>
    <w:bookmarkEnd w:id="778"/>
    <w:bookmarkStart w:id="779"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79"/>
    <w:bookmarkStart w:id="781"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80">
        <w:r>
          <w:rPr>
            <w:rStyle w:val="Hyperlink"/>
          </w:rPr>
          <w:t xml:space="preserve">https://doi.org/10.1016/j.jphotobiol.2013.10.005</w:t>
        </w:r>
      </w:hyperlink>
    </w:p>
    <w:bookmarkEnd w:id="781"/>
    <w:bookmarkStart w:id="782"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82"/>
    <w:bookmarkStart w:id="784"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83">
        <w:r>
          <w:rPr>
            <w:rStyle w:val="Hyperlink"/>
          </w:rPr>
          <w:t xml:space="preserve">https://doi.org/10.1080/17445647.2021.1925170</w:t>
        </w:r>
      </w:hyperlink>
    </w:p>
    <w:bookmarkEnd w:id="784"/>
    <w:bookmarkStart w:id="785" w:name="ref-mienye2024recurrent"/>
    <w:p>
      <w:pPr>
        <w:pStyle w:val="Bibliography"/>
      </w:pPr>
      <w:r>
        <w:t xml:space="preserve">Mienye, I.D., Swart, T.G., Obaido, G., 2024. Recurrent neural networks: A comprehensive review of architectures, variants, and applications. Information 15, 517.</w:t>
      </w:r>
    </w:p>
    <w:bookmarkEnd w:id="785"/>
    <w:bookmarkStart w:id="786"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86"/>
    <w:bookmarkStart w:id="788"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87">
        <w:r>
          <w:rPr>
            <w:rStyle w:val="Hyperlink"/>
          </w:rPr>
          <w:t xml:space="preserve">https://doi.org/10.1111/GCB.14108</w:t>
        </w:r>
      </w:hyperlink>
    </w:p>
    <w:bookmarkEnd w:id="788"/>
    <w:bookmarkStart w:id="789"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89"/>
    <w:bookmarkStart w:id="791"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90">
        <w:r>
          <w:rPr>
            <w:rStyle w:val="Hyperlink"/>
          </w:rPr>
          <w:t xml:space="preserve">https://doi.org/10.1038/s41598-021-83597-z</w:t>
        </w:r>
      </w:hyperlink>
    </w:p>
    <w:bookmarkEnd w:id="791"/>
    <w:bookmarkStart w:id="792"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92"/>
    <w:bookmarkStart w:id="793" w:name="ref-moreira2022underexplored"/>
    <w:p>
      <w:pPr>
        <w:pStyle w:val="Bibliography"/>
      </w:pPr>
      <w:r>
        <w:t xml:space="preserve">Moreira, A., Cruz, S., Marques, R., Cartaxana, P., 2022. The underexplored potential of green macroalgae in aquaculture. Reviews in Aquaculture 14, 5–26.</w:t>
      </w:r>
    </w:p>
    <w:bookmarkEnd w:id="793"/>
    <w:bookmarkStart w:id="795"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94">
        <w:r>
          <w:rPr>
            <w:rStyle w:val="Hyperlink"/>
          </w:rPr>
          <w:t xml:space="preserve">https://doi.org/10.1017/s0031182002001476</w:t>
        </w:r>
      </w:hyperlink>
    </w:p>
    <w:bookmarkEnd w:id="795"/>
    <w:bookmarkStart w:id="796"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96"/>
    <w:bookmarkStart w:id="797"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97"/>
    <w:bookmarkStart w:id="798" w:name="ref-mukhopadhyay2012coastal"/>
    <w:p>
      <w:pPr>
        <w:pStyle w:val="Bibliography"/>
      </w:pPr>
      <w:r>
        <w:t xml:space="preserve">Mukhopadhyay, A., Dasgupta, R., Hazra, S., Mitra, D., 2012. Coastal hazards and vulnerability: A review. International journal of geology, earth and environmental sciences 2, 57–69.</w:t>
      </w:r>
    </w:p>
    <w:bookmarkEnd w:id="798"/>
    <w:bookmarkStart w:id="799" w:name="ref-muller2024site"/>
    <w:p>
      <w:pPr>
        <w:pStyle w:val="Bibliography"/>
      </w:pPr>
      <w:r>
        <w:t xml:space="preserve">Muller, H., Auclair, E., Woehrel, A., Ganthy, F., Tandeo, P., Wu, P.P.-Y., Chercham, C., Marzloff, M.P., 2024. Site-level and spatially-explicit modelling provides some insights on key factors driving seasonal dynamics of an intertidal seagrass. Ecological Modelling 495, 110802.</w:t>
      </w:r>
    </w:p>
    <w:bookmarkEnd w:id="799"/>
    <w:bookmarkStart w:id="801"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800">
        <w:r>
          <w:rPr>
            <w:rStyle w:val="Hyperlink"/>
          </w:rPr>
          <w:t xml:space="preserve">https://doi.org/10.1002/eap.1682</w:t>
        </w:r>
      </w:hyperlink>
    </w:p>
    <w:bookmarkEnd w:id="801"/>
    <w:bookmarkStart w:id="802" w:name="ref-murray2018role"/>
    <w:p>
      <w:pPr>
        <w:pStyle w:val="Bibliography"/>
      </w:pPr>
      <w:r>
        <w:t xml:space="preserve">Murray, N.J., Keith, D.A., Bland, L.M., Ferrari, R., Lyons, M.B., Lucas, R., Pettorelli, N., Nicholson, E., 2018. The role of satellite remote sensing in structured ecosystem risk assessments. Science of the Total Environment 619, 249–257.</w:t>
      </w:r>
    </w:p>
    <w:bookmarkEnd w:id="802"/>
    <w:bookmarkStart w:id="804"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803">
        <w:r>
          <w:rPr>
            <w:rStyle w:val="Hyperlink"/>
          </w:rPr>
          <w:t xml:space="preserve">https://doi.org/10.1038/s41586-018-0805-8</w:t>
        </w:r>
      </w:hyperlink>
    </w:p>
    <w:bookmarkEnd w:id="804"/>
    <w:bookmarkStart w:id="805"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805"/>
    <w:bookmarkStart w:id="806" w:name="ref-nguyen2021"/>
    <w:p>
      <w:pPr>
        <w:pStyle w:val="Bibliography"/>
      </w:pPr>
      <w:r>
        <w:t xml:space="preserve">Nguyen, H.M., Ralph, P.J., Marı́n-Guirao, L., Pernice, M., Procaccini, G., 2021. Seagrasses in an era of ocean warming: A review. Biological Reviews 96, 2009–2030.</w:t>
      </w:r>
    </w:p>
    <w:bookmarkEnd w:id="806"/>
    <w:bookmarkStart w:id="807"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807"/>
    <w:bookmarkStart w:id="808"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808"/>
    <w:bookmarkStart w:id="809" w:name="ref-nixon1981remineralization"/>
    <w:p>
      <w:pPr>
        <w:pStyle w:val="Bibliography"/>
      </w:pPr>
      <w:r>
        <w:t xml:space="preserve">Nixon, S.W., 1981. Remineralization and nutrient cycling in coastal marine ecosystems, in: Estuaries and Nutrients. Springer, pp. 111–138.</w:t>
      </w:r>
    </w:p>
    <w:bookmarkEnd w:id="809"/>
    <w:bookmarkStart w:id="810"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810"/>
    <w:bookmarkStart w:id="811" w:name="ref-novais2023use"/>
    <w:p>
      <w:pPr>
        <w:pStyle w:val="Bibliography"/>
      </w:pPr>
      <w:r>
        <w:t xml:space="preserve">Novais, J., Vieira, A., Bento-Gonçalves, A., Silva, S., Folharini, S., Marques, T., 2023. The use of UAVs for morphological coastal change monitoring—a bibliometric analysis. Drones 7, 629.</w:t>
      </w:r>
    </w:p>
    <w:bookmarkEnd w:id="811"/>
    <w:bookmarkStart w:id="812" w:name="ref-nowacek2007responses"/>
    <w:p>
      <w:pPr>
        <w:pStyle w:val="Bibliography"/>
      </w:pPr>
      <w:r>
        <w:t xml:space="preserve">Nowacek, D.P., Thorne, L.H., Johnston, D.W., Tyack, P.L., 2007. Responses of cetaceans to anthropogenic noise. Mammal Review 37, 81–115.</w:t>
      </w:r>
    </w:p>
    <w:bookmarkEnd w:id="812"/>
    <w:bookmarkStart w:id="813" w:name="ref-n1999primary"/>
    <w:p>
      <w:pPr>
        <w:pStyle w:val="Bibliography"/>
      </w:pPr>
      <w:r>
        <w:t xml:space="preserve">N-Uptake, A., 1999. Primary production by phytoplankton and microphytobenthos in estuaries. Estuaries 29, 93.</w:t>
      </w:r>
    </w:p>
    <w:bookmarkEnd w:id="813"/>
    <w:bookmarkStart w:id="814"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814"/>
    <w:bookmarkStart w:id="815" w:name="ref-nyberg2007introduced"/>
    <w:p>
      <w:pPr>
        <w:pStyle w:val="Bibliography"/>
      </w:pPr>
      <w:r>
        <w:t xml:space="preserve">Nyberg, C.D., 2007. Introduced marine macroalgae and habitat modifiers: Their ecological role and significant attributes. Department of Marine Ecology.</w:t>
      </w:r>
    </w:p>
    <w:bookmarkEnd w:id="815"/>
    <w:bookmarkStart w:id="816" w:name="ref-nyberg2009flora"/>
    <w:p>
      <w:pPr>
        <w:pStyle w:val="Bibliography"/>
      </w:pPr>
      <w:r>
        <w:t xml:space="preserve">Nyberg, C.D., Thomsen, M.S., Wallentinus, I., 2009. Flora and fauna associated with the introduced red alga gracilaria vermiculophylla. European Journal of Phycology 44, 395–403.</w:t>
      </w:r>
    </w:p>
    <w:bookmarkEnd w:id="816"/>
    <w:bookmarkStart w:id="817" w:name="ref-oh2017use"/>
    <w:p>
      <w:pPr>
        <w:pStyle w:val="Bibliography"/>
      </w:pPr>
      <w:r>
        <w:t xml:space="preserve">Oh, J., Kim, D., Lee, H., 2017. Use of a drone for mapping and time series image acquisition of tidal zones. Journal of the Korean Institute of Intelligent Systems 27, 119–125.</w:t>
      </w:r>
    </w:p>
    <w:bookmarkEnd w:id="817"/>
    <w:bookmarkStart w:id="818"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818"/>
    <w:bookmarkStart w:id="820" w:name="ref-Simon2024ShinyApp"/>
    <w:p>
      <w:pPr>
        <w:pStyle w:val="Bibliography"/>
      </w:pPr>
      <w:r>
        <w:t xml:space="preserve">Oiry, S., 2024.</w:t>
      </w:r>
      <w:r>
        <w:t xml:space="preserve"> </w:t>
      </w:r>
      <w:hyperlink r:id="rId819">
        <w:r>
          <w:rPr>
            <w:rStyle w:val="Hyperlink"/>
          </w:rPr>
          <w:t xml:space="preserve">Shiny app for validation dataset building</w:t>
        </w:r>
      </w:hyperlink>
      <w:r>
        <w:t xml:space="preserve">.</w:t>
      </w:r>
    </w:p>
    <w:bookmarkEnd w:id="820"/>
    <w:bookmarkStart w:id="821" w:name="ref-oiry2021using"/>
    <w:p>
      <w:pPr>
        <w:pStyle w:val="Bibliography"/>
      </w:pPr>
      <w:r>
        <w:t xml:space="preserve">Oiry, S., Barillé, L., 2021. Using sentinel-2 satellite imagery to develop microphytobenthos-based water quality indices in estuaries. Ecological Indicators 121, 107184.</w:t>
      </w:r>
    </w:p>
    <w:bookmarkEnd w:id="821"/>
    <w:bookmarkStart w:id="823"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822">
        <w:r>
          <w:rPr>
            <w:rStyle w:val="Hyperlink"/>
          </w:rPr>
          <w:t xml:space="preserve">https://doi.org/10.3390/rs16234383</w:t>
        </w:r>
      </w:hyperlink>
    </w:p>
    <w:bookmarkEnd w:id="823"/>
    <w:bookmarkStart w:id="825"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824">
        <w:r>
          <w:rPr>
            <w:rStyle w:val="Hyperlink"/>
          </w:rPr>
          <w:t xml:space="preserve">Vegan: Community ecology package</w:t>
        </w:r>
      </w:hyperlink>
      <w:r>
        <w:t xml:space="preserve">.</w:t>
      </w:r>
    </w:p>
    <w:bookmarkEnd w:id="825"/>
    <w:bookmarkStart w:id="826"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826"/>
    <w:bookmarkStart w:id="827"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827"/>
    <w:bookmarkStart w:id="828"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828"/>
    <w:bookmarkStart w:id="829" w:name="ref-otrachshenko2017fishing"/>
    <w:p>
      <w:pPr>
        <w:pStyle w:val="Bibliography"/>
      </w:pPr>
      <w:r>
        <w:t xml:space="preserve">Otrachshenko, V., Bosello, F., 2017. Fishing for answers? Impacts of marine ecosystem quality on coastal tourism demand. Tourism Economics 23, 963–980.</w:t>
      </w:r>
    </w:p>
    <w:bookmarkEnd w:id="829"/>
    <w:bookmarkStart w:id="830"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830"/>
    <w:bookmarkStart w:id="832"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831">
        <w:r>
          <w:rPr>
            <w:rStyle w:val="Hyperlink"/>
          </w:rPr>
          <w:t xml:space="preserve">https://doi.org/10.5281/zenodo.3463051</w:t>
        </w:r>
      </w:hyperlink>
    </w:p>
    <w:bookmarkEnd w:id="832"/>
    <w:bookmarkStart w:id="834" w:name="ref-WoRMS303450"/>
    <w:p>
      <w:pPr>
        <w:pStyle w:val="Bibliography"/>
      </w:pPr>
      <w:r>
        <w:t xml:space="preserve">Papenfuss, G.F., 1967.</w:t>
      </w:r>
      <w:r>
        <w:t xml:space="preserve"> </w:t>
      </w:r>
      <w:hyperlink r:id="rId833">
        <w:r>
          <w:rPr>
            <w:rStyle w:val="Hyperlink"/>
          </w:rPr>
          <w:t xml:space="preserve">Notes on algal nomenclature - v. Various chlorophyceae and rhodophyceae</w:t>
        </w:r>
      </w:hyperlink>
      <w:r>
        <w:t xml:space="preserve">. Phykos 5, 95–105.</w:t>
      </w:r>
    </w:p>
    <w:bookmarkEnd w:id="834"/>
    <w:bookmarkStart w:id="835"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835"/>
    <w:bookmarkStart w:id="836"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836"/>
    <w:bookmarkStart w:id="837"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837"/>
    <w:bookmarkStart w:id="838"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838"/>
    <w:bookmarkStart w:id="839"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839"/>
    <w:bookmarkStart w:id="840"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840"/>
    <w:bookmarkStart w:id="841"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841"/>
    <w:bookmarkStart w:id="842" w:name="ref-perkins2013measurement"/>
    <w:p>
      <w:pPr>
        <w:pStyle w:val="Bibliography"/>
      </w:pPr>
      <w:r>
        <w:t xml:space="preserve">Perkins, S.E., Alexander, L.V., 2013. On the measurement of heat waves. Journal of climate 26, 4500–4517.</w:t>
      </w:r>
    </w:p>
    <w:bookmarkEnd w:id="842"/>
    <w:bookmarkStart w:id="843"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843"/>
    <w:bookmarkStart w:id="844"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844"/>
    <w:bookmarkStart w:id="845" w:name="ref-pillay2024assessing"/>
    <w:p>
      <w:pPr>
        <w:pStyle w:val="Bibliography"/>
      </w:pPr>
      <w:r>
        <w:t xml:space="preserve">Pillay, S.J., Bangira, T., Sibanda, M., Kebede Gurmessa, S., Clulow, A., Mabhaudhi, T., 2024. Assessing drone-based remote sensing for monitoring water temperature, suspended solids and CDOM in inland waters: A global systematic review of challenges and opportunities. Drones 8, 733.</w:t>
      </w:r>
    </w:p>
    <w:bookmarkEnd w:id="845"/>
    <w:bookmarkStart w:id="846" w:name="ref-pitts1943linear"/>
    <w:p>
      <w:pPr>
        <w:pStyle w:val="Bibliography"/>
      </w:pPr>
      <w:r>
        <w:t xml:space="preserve">Pitts, W., 1943. The linear theory of neuron networks: The dynamic problem. The bulletin of mathematical biophysics 5, 23–31.</w:t>
      </w:r>
    </w:p>
    <w:bookmarkEnd w:id="846"/>
    <w:bookmarkStart w:id="848" w:name="ref-Rbase"/>
    <w:p>
      <w:pPr>
        <w:pStyle w:val="Bibliography"/>
      </w:pPr>
      <w:r>
        <w:t xml:space="preserve">R Core Team, 2023.</w:t>
      </w:r>
      <w:r>
        <w:t xml:space="preserve"> </w:t>
      </w:r>
      <w:hyperlink r:id="rId847">
        <w:r>
          <w:rPr>
            <w:rStyle w:val="Hyperlink"/>
          </w:rPr>
          <w:t xml:space="preserve">R: A language and environment for statistical computing</w:t>
        </w:r>
      </w:hyperlink>
      <w:r>
        <w:t xml:space="preserve">. R Foundation for Statistical Computing, Vienna, Austria.</w:t>
      </w:r>
    </w:p>
    <w:bookmarkEnd w:id="848"/>
    <w:bookmarkStart w:id="849" w:name="ref-raikar2001effect"/>
    <w:p>
      <w:pPr>
        <w:pStyle w:val="Bibliography"/>
      </w:pPr>
      <w:r>
        <w:t xml:space="preserve">Raikar, S., Iima, M., Fujita, Y., 2001. Effect of temperature, salinity and light intensity on the growth of gracilaria spp.(gracilariales, rhodophyta) from japan, malaysia and india.</w:t>
      </w:r>
    </w:p>
    <w:bookmarkEnd w:id="849"/>
    <w:bookmarkStart w:id="850"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50"/>
    <w:bookmarkStart w:id="851" w:name="ref-ramesh2020seagrass"/>
    <w:p>
      <w:pPr>
        <w:pStyle w:val="Bibliography"/>
      </w:pPr>
      <w:r>
        <w:t xml:space="preserve">Ramesh, C., Mohanraju, R., 2020. Seagrass ecosystems of andaman and nicobar islands: Status and future perspective. Environmental &amp; Earth Sciences Research Journal 7.</w:t>
      </w:r>
    </w:p>
    <w:bookmarkEnd w:id="851"/>
    <w:bookmarkStart w:id="852"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52"/>
    <w:bookmarkStart w:id="853" w:name="ref-ranjan2023destructive"/>
    <w:p>
      <w:pPr>
        <w:pStyle w:val="Bibliography"/>
      </w:pPr>
      <w:r>
        <w:t xml:space="preserve">Ranjan, D., Verma, P., Kshatri, A.S., Patel, A., Gupta, V., Chaudhary, V., Yadav, B., 2023. Destructive fishing practices and their impacts on fisheries. Latest trends in Fisheries and Aquatic Animal Health 3.</w:t>
      </w:r>
    </w:p>
    <w:bookmarkEnd w:id="853"/>
    <w:bookmarkStart w:id="854" w:name="ref-rasheed2011long"/>
    <w:p>
      <w:pPr>
        <w:pStyle w:val="Bibliography"/>
      </w:pPr>
      <w:r>
        <w:t xml:space="preserve">Rasheed, M.A., Unsworth, R.K., 2011. Long-term climate-associated dynamics of a tropical seagrass meadow: Implications for the future. Marine Ecology Progress Series 422, 93–103.</w:t>
      </w:r>
    </w:p>
    <w:bookmarkEnd w:id="854"/>
    <w:bookmarkStart w:id="855"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55"/>
    <w:bookmarkStart w:id="856"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56"/>
    <w:bookmarkStart w:id="857" w:name="ref-reeves2014distribution"/>
    <w:p>
      <w:pPr>
        <w:pStyle w:val="Bibliography"/>
      </w:pPr>
      <w:r>
        <w:t xml:space="preserve">Reeves, R.R., Ewins, P.J., Agbayani, S., Heide-Jørgensen, M.P., Kovacs, K.M., Lydersen, C., Suydam, R., Elliott, W., Polet, G., Dijk, Y. van, others, 2014. Distribution of endemic cetaceans in relation to hydrocarbon development and commercial shipping in a warming arctic. Marine Policy 44, 375–389.</w:t>
      </w:r>
    </w:p>
    <w:bookmarkEnd w:id="857"/>
    <w:bookmarkStart w:id="858" w:name="ref-reimann2023population"/>
    <w:p>
      <w:pPr>
        <w:pStyle w:val="Bibliography"/>
      </w:pPr>
      <w:r>
        <w:t xml:space="preserve">Reimann, L., Vafeidis, A.T., Honsel, L.E., 2023. Population development as a driver of coastal risk: Current trends and future pathways. Cambridge Prisms: Coastal Futures 1, e14.</w:t>
      </w:r>
    </w:p>
    <w:bookmarkEnd w:id="858"/>
    <w:bookmarkStart w:id="859"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59"/>
    <w:bookmarkStart w:id="861" w:name="ref-reuters_aquafarming_2024"/>
    <w:p>
      <w:pPr>
        <w:pStyle w:val="Bibliography"/>
      </w:pPr>
      <w:r>
        <w:t xml:space="preserve">Reuters, 2024. Aquafarming becomes main global source of fish,</w:t>
      </w:r>
      <w:r>
        <w:t xml:space="preserve"> </w:t>
      </w:r>
      <w:r>
        <w:t xml:space="preserve">UN</w:t>
      </w:r>
      <w:r>
        <w:t xml:space="preserve"> </w:t>
      </w:r>
      <w:r>
        <w:t xml:space="preserve">food agency says [WWW Document]. URL</w:t>
      </w:r>
      <w:r>
        <w:t xml:space="preserve"> </w:t>
      </w:r>
      <w:hyperlink r:id="rId860">
        <w:r>
          <w:rPr>
            <w:rStyle w:val="Hyperlink"/>
          </w:rPr>
          <w:t xml:space="preserve">https://www.reuters.com/business/environment/aquafarming-becomes-main-global-source-fish-un-food-agency-says-2024-06-07/</w:t>
        </w:r>
      </w:hyperlink>
    </w:p>
    <w:bookmarkEnd w:id="861"/>
    <w:bookmarkStart w:id="862" w:name="ref-roca2016response"/>
    <w:p>
      <w:pPr>
        <w:pStyle w:val="Bibliography"/>
      </w:pPr>
      <w:r>
        <w:t xml:space="preserve">Roca, G., Alcoverro, T., Krause-Jensen, D., Balsby, T.J.S., Katwijk, M.M. van, Marbà, N., Santos, R., Arthur, R., Mascaró, O., Fernández-Torquemada, Y., others, 2016. Response of seagrass indicators to shifts in environmental stressors: A global review and management synthesis. Ecological Indicators 63, 310–323.</w:t>
      </w:r>
    </w:p>
    <w:bookmarkEnd w:id="862"/>
    <w:bookmarkStart w:id="863"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863"/>
    <w:bookmarkStart w:id="864" w:name="ref-rodrigues2023ecological"/>
    <w:p>
      <w:pPr>
        <w:pStyle w:val="Bibliography"/>
      </w:pPr>
      <w:r>
        <w:t xml:space="preserve">Rodrigues-Filho, J.L., Macêdo, R.L., Sarmento, H., Pimenta, V.R., Alonso, C., Teixeira, C.R., Pagliosa, P.R., Netto, S.A., Santos, N.C., Daura-Jorge, F.G., others, 2023. From ecological functions to ecosystem services: Linking coastal lagoons biodiversity with human well-being. Hydrobiologia 850, 2611–2653.</w:t>
      </w:r>
    </w:p>
    <w:bookmarkEnd w:id="864"/>
    <w:bookmarkStart w:id="865"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65"/>
    <w:bookmarkStart w:id="866"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66"/>
    <w:bookmarkStart w:id="867" w:name="ref-roman2022water"/>
    <w:p>
      <w:pPr>
        <w:pStyle w:val="Bibliography"/>
      </w:pPr>
      <w:r>
        <w:t xml:space="preserve">Román, A., Tovar-Sánchez, A., Gauci, A., Deidun, A., Caballero, I., Colica, E., D’Amico, S., Navarro, G., 2022. Water-quality monitoring with a UAV-mounted multispectral camera in coastal waters. Remote Sensing 15, 237.</w:t>
      </w:r>
    </w:p>
    <w:bookmarkEnd w:id="867"/>
    <w:bookmarkStart w:id="868" w:name="ref-roman2021using"/>
    <w:p>
      <w:pPr>
        <w:pStyle w:val="Bibliography"/>
      </w:pPr>
      <w:r>
        <w:t xml:space="preserve">Román, A., Tovar-Sánchez, A., Olivé, I., Navarro, G., 2021. Using a UAV-mounted multispectral camera for the monitoring of marine macrophytes. Frontiers in Marine Science 8, 722698.</w:t>
      </w:r>
    </w:p>
    <w:bookmarkEnd w:id="868"/>
    <w:bookmarkStart w:id="869" w:name="ref-roman2023clam"/>
    <w:p>
      <w:pPr>
        <w:pStyle w:val="Bibliography"/>
      </w:pPr>
      <w:r>
        <w:t xml:space="preserve">Román, M., Gilbert, F., Viejo, R.M., Román, S., Troncoso, J.S., Vázquez, E., Olabarria, C., 2023. Are clam-seagrass interactions affected by heatwaves during emersion? Marine Environmental Research 186, 105906.</w:t>
      </w:r>
    </w:p>
    <w:bookmarkEnd w:id="869"/>
    <w:bookmarkStart w:id="870" w:name="ref-roman2022effects"/>
    <w:p>
      <w:pPr>
        <w:pStyle w:val="Bibliography"/>
      </w:pPr>
      <w:r>
        <w:t xml:space="preserve">Román, S., Vázquez, E., Román, M., Viejo, R.M., Woodin, S.A., Wethey, D.S., Troncoso, J.S., Olabarria, C., 2022. Effects of warming on biological interactions between clams and the seagrass zostera noltei: A case study using open top chambers. Estuarine, Coastal and Shelf Science 276, 108027.</w:t>
      </w:r>
    </w:p>
    <w:bookmarkEnd w:id="870"/>
    <w:bookmarkStart w:id="871" w:name="ref-romero2008sintering"/>
    <w:p>
      <w:pPr>
        <w:pStyle w:val="Bibliography"/>
      </w:pPr>
      <w:r>
        <w:t xml:space="preserve">Romero, M., Andrés, A., Alonso, R., Viguri, J., Rincón, J.M., 2008. Sintering behaviour of ceramic bodies from contaminated marine sediments. Ceramics International 34, 1917–1924.</w:t>
      </w:r>
    </w:p>
    <w:bookmarkEnd w:id="871"/>
    <w:bookmarkStart w:id="872" w:name="ref-rossiter2020uav"/>
    <w:p>
      <w:pPr>
        <w:pStyle w:val="Bibliography"/>
      </w:pPr>
      <w:r>
        <w:t xml:space="preserve">Rossiter, T., Furey, T., McCarthy, T., Stengel, D.B., 2020. UAV-mounted hyperspectral mapping of intertidal macroalgae. Estuarine, Coastal and Shelf Science 242, 106789.</w:t>
      </w:r>
    </w:p>
    <w:bookmarkEnd w:id="872"/>
    <w:bookmarkStart w:id="873" w:name="ref-rouse1974monitoring"/>
    <w:p>
      <w:pPr>
        <w:pStyle w:val="Bibliography"/>
      </w:pPr>
      <w:r>
        <w:t xml:space="preserve">Rouse, J.W., Haas, R.H., Schell, J.A., Deering, D.W., others, 1974. Monitoring vegetation systems in the great plains with ERTS. NASA Spec. Publ 351, 309.</w:t>
      </w:r>
    </w:p>
    <w:bookmarkEnd w:id="873"/>
    <w:bookmarkStart w:id="874" w:name="ref-rueness2005life"/>
    <w:p>
      <w:pPr>
        <w:pStyle w:val="Bibliography"/>
      </w:pPr>
      <w:r>
        <w:t xml:space="preserve">Rueness, J., 2005. Life history and molecular sequences of gracilaria vermiculophylla (gracilariales, rhodophyta), a new introduction to european waters. Phycologia 44, 120–128.</w:t>
      </w:r>
    </w:p>
    <w:bookmarkEnd w:id="874"/>
    <w:bookmarkStart w:id="875"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75"/>
    <w:bookmarkStart w:id="876" w:name="ref-Sage2020"/>
    <w:p>
      <w:pPr>
        <w:pStyle w:val="Bibliography"/>
      </w:pPr>
      <w:r>
        <w:t xml:space="preserve">Sage, R.F., 2020. Global change biology: A primer. Global Change Biology 26, 3–30.</w:t>
      </w:r>
    </w:p>
    <w:bookmarkEnd w:id="876"/>
    <w:bookmarkStart w:id="877"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77"/>
    <w:bookmarkStart w:id="878"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78"/>
    <w:bookmarkStart w:id="879"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79"/>
    <w:bookmarkStart w:id="880" w:name="ref-sarker2021machine"/>
    <w:p>
      <w:pPr>
        <w:pStyle w:val="Bibliography"/>
      </w:pPr>
      <w:r>
        <w:t xml:space="preserve">Sarker, I.H., 2021. Machine learning: Algorithms, real-world applications and research directions. SN computer science 2, 160.</w:t>
      </w:r>
    </w:p>
    <w:bookmarkEnd w:id="880"/>
    <w:bookmarkStart w:id="881"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81"/>
    <w:bookmarkStart w:id="882" w:name="ref-savitzky1964smoothing"/>
    <w:p>
      <w:pPr>
        <w:pStyle w:val="Bibliography"/>
      </w:pPr>
      <w:r>
        <w:t xml:space="preserve">Savitzky, A., Golay, M.J., 1964. Smoothing and differentiation of data by simplified least squares procedures. Analytical chemistry 36, 1627–1639.</w:t>
      </w:r>
    </w:p>
    <w:bookmarkEnd w:id="882"/>
    <w:bookmarkStart w:id="883"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83"/>
    <w:bookmarkStart w:id="885"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84">
        <w:r>
          <w:rPr>
            <w:rStyle w:val="Hyperlink"/>
          </w:rPr>
          <w:t xml:space="preserve">https://doi.org/10.1016/j.ecoser.2022.101414</w:t>
        </w:r>
      </w:hyperlink>
    </w:p>
    <w:bookmarkEnd w:id="885"/>
    <w:bookmarkStart w:id="887"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86">
        <w:r>
          <w:rPr>
            <w:rStyle w:val="Hyperlink"/>
          </w:rPr>
          <w:t xml:space="preserve">https://doi.org/10.3389/fevo.2021.767548</w:t>
        </w:r>
      </w:hyperlink>
    </w:p>
    <w:bookmarkEnd w:id="887"/>
    <w:bookmarkStart w:id="889"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88">
        <w:r>
          <w:rPr>
            <w:rStyle w:val="Hyperlink"/>
          </w:rPr>
          <w:t xml:space="preserve">https://doi.org/10.21105/joss.00821</w:t>
        </w:r>
      </w:hyperlink>
    </w:p>
    <w:bookmarkEnd w:id="889"/>
    <w:bookmarkStart w:id="890" w:name="ref-Schmidt2003"/>
    <w:p>
      <w:pPr>
        <w:pStyle w:val="Bibliography"/>
      </w:pPr>
      <w:r>
        <w:t xml:space="preserve">Schmidt, K., Skidmore, A., 2003. Spectral discrimination of vegetation types in a coastal wetland. Remote sensing of Environment 85, 92–108.</w:t>
      </w:r>
    </w:p>
    <w:bookmarkEnd w:id="890"/>
    <w:bookmarkStart w:id="891" w:name="ref-schneider2012nih"/>
    <w:p>
      <w:pPr>
        <w:pStyle w:val="Bibliography"/>
      </w:pPr>
      <w:r>
        <w:t xml:space="preserve">Schneider, C.A., Rasband, W.S., Eliceiri, K.W., 2012. NIH image to ImageJ: 25 years of image analysis. Nature methods 9, 671–675.</w:t>
      </w:r>
    </w:p>
    <w:bookmarkEnd w:id="891"/>
    <w:bookmarkStart w:id="892"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892"/>
    <w:bookmarkStart w:id="893"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93"/>
    <w:bookmarkStart w:id="895"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894">
        <w:r>
          <w:rPr>
            <w:rStyle w:val="Hyperlink"/>
          </w:rPr>
          <w:t xml:space="preserve">https://doi.org/10.1016/j.marenvres.2021.105475</w:t>
        </w:r>
      </w:hyperlink>
    </w:p>
    <w:bookmarkEnd w:id="895"/>
    <w:bookmarkStart w:id="896"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896"/>
    <w:bookmarkStart w:id="897"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897"/>
    <w:bookmarkStart w:id="899" w:name="Xbef41143b4d4042e58f11cfc27e216202646012"/>
    <w:p>
      <w:pPr>
        <w:pStyle w:val="Bibliography"/>
      </w:pPr>
      <w:r>
        <w:t xml:space="preserve">SHOM, n.d.</w:t>
      </w:r>
      <w:r>
        <w:t xml:space="preserve"> </w:t>
      </w:r>
      <w:hyperlink r:id="rId898">
        <w:r>
          <w:rPr>
            <w:rStyle w:val="Hyperlink"/>
          </w:rPr>
          <w:t xml:space="preserve">Service hydrographique et océanographique de la marine ; bathymétrie Litto3D® bretagne 2018-2021</w:t>
        </w:r>
      </w:hyperlink>
      <w:r>
        <w:t xml:space="preserve">.</w:t>
      </w:r>
    </w:p>
    <w:bookmarkEnd w:id="899"/>
    <w:bookmarkStart w:id="901" w:name="ref-shom"/>
    <w:p>
      <w:pPr>
        <w:pStyle w:val="Bibliography"/>
      </w:pPr>
      <w:r>
        <w:t xml:space="preserve">SHOM, 2024.</w:t>
      </w:r>
      <w:r>
        <w:t xml:space="preserve"> </w:t>
      </w:r>
      <w:hyperlink r:id="rId900">
        <w:r>
          <w:rPr>
            <w:rStyle w:val="Hyperlink"/>
          </w:rPr>
          <w:t xml:space="preserve">Service hydrographique et océanographique de la marine (SHOM)</w:t>
        </w:r>
      </w:hyperlink>
      <w:r>
        <w:t xml:space="preserve">.</w:t>
      </w:r>
    </w:p>
    <w:bookmarkEnd w:id="901"/>
    <w:bookmarkStart w:id="903" w:name="ref-shom_ram_2022"/>
    <w:p>
      <w:pPr>
        <w:pStyle w:val="Bibliography"/>
      </w:pPr>
      <w:r>
        <w:t xml:space="preserve">SHOM, 2022.</w:t>
      </w:r>
      <w:r>
        <w:t xml:space="preserve"> </w:t>
      </w:r>
      <w:hyperlink r:id="rId902">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903"/>
    <w:bookmarkStart w:id="904" w:name="ref-simberloff2021maintenance"/>
    <w:p>
      <w:pPr>
        <w:pStyle w:val="Bibliography"/>
      </w:pPr>
      <w:r>
        <w:t xml:space="preserve">Simberloff, D., 2021. Maintenance management and eradication of established aquatic invaders. Hydrobiologia 848, 2399–2420.</w:t>
      </w:r>
    </w:p>
    <w:bookmarkEnd w:id="904"/>
    <w:bookmarkStart w:id="905" w:name="ref-simic2018drones"/>
    <w:p>
      <w:pPr>
        <w:pStyle w:val="Bibliography"/>
      </w:pPr>
      <w:r>
        <w:t xml:space="preserve">Simic Milas, A., Cracknell, A.P., Warner, T.A., 2018. Drones–the third generation source of remote sensing data. International Journal of Remote Sensing.</w:t>
      </w:r>
    </w:p>
    <w:bookmarkEnd w:id="905"/>
    <w:bookmarkStart w:id="906"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906"/>
    <w:bookmarkStart w:id="907"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907"/>
    <w:bookmarkStart w:id="909" w:name="ref-Slaton2001"/>
    <w:p>
      <w:pPr>
        <w:pStyle w:val="Bibliography"/>
      </w:pPr>
      <w:r>
        <w:t xml:space="preserve">Slaton, M.R., Raymond Hunt Jr., E., Smith, W.K., 2001. Estimating near-infrared leaf reflectance from leaf structural characteristics. American Journal of Botany 88, 278–284. https://doi.org/</w:t>
      </w:r>
      <w:hyperlink r:id="rId908">
        <w:r>
          <w:rPr>
            <w:rStyle w:val="Hyperlink"/>
          </w:rPr>
          <w:t xml:space="preserve">https://doi.org/10.2307/2657019</w:t>
        </w:r>
      </w:hyperlink>
    </w:p>
    <w:bookmarkEnd w:id="909"/>
    <w:bookmarkStart w:id="910"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910"/>
    <w:bookmarkStart w:id="911"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911"/>
    <w:bookmarkStart w:id="912"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912"/>
    <w:bookmarkStart w:id="913"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913"/>
    <w:bookmarkStart w:id="914"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914"/>
    <w:bookmarkStart w:id="915" w:name="ref-stan2020rstan"/>
    <w:p>
      <w:pPr>
        <w:pStyle w:val="Bibliography"/>
      </w:pPr>
      <w:r>
        <w:t xml:space="preserve">Stan Development Team, C., others, 2020. RStan: The r interface to stan. R package version 2.21. 2.</w:t>
      </w:r>
    </w:p>
    <w:bookmarkEnd w:id="915"/>
    <w:bookmarkStart w:id="916" w:name="ref-steinmetz2011atmospheric"/>
    <w:p>
      <w:pPr>
        <w:pStyle w:val="Bibliography"/>
      </w:pPr>
      <w:r>
        <w:t xml:space="preserve">Steinmetz, F., Deschamps, P.-Y., Ramon, D., 2011. Atmospheric correction in presence of sun glint: Application to MERIS. Optics express 19, 9783–9800.</w:t>
      </w:r>
    </w:p>
    <w:bookmarkEnd w:id="916"/>
    <w:bookmarkStart w:id="917"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917"/>
    <w:bookmarkStart w:id="919"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918">
        <w:r>
          <w:rPr>
            <w:rStyle w:val="Hyperlink"/>
          </w:rPr>
          <w:t xml:space="preserve">https://doi.org/10.1152/physiol.00040.2018</w:t>
        </w:r>
      </w:hyperlink>
    </w:p>
    <w:bookmarkEnd w:id="919"/>
    <w:bookmarkStart w:id="920"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920"/>
    <w:bookmarkStart w:id="921"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921"/>
    <w:bookmarkStart w:id="922"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922"/>
    <w:bookmarkStart w:id="923"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923"/>
    <w:bookmarkStart w:id="924" w:name="ref-surget2017seasonal"/>
    <w:p>
      <w:pPr>
        <w:pStyle w:val="Bibliography"/>
      </w:pPr>
      <w:r>
        <w:t xml:space="preserve">Surget, G., Le Lann, K., Delebecq, G., Kervarec, N., Donval, A., Poullaouec, M.-A., Bihannic, I., Poupart, N., Stiger-Pouvreau, V., 2017. Seasonal phenology and metabolomics of the introduced red macroalga</w:t>
      </w:r>
      <w:r>
        <w:t xml:space="preserve"> </w:t>
      </w:r>
      <w:r>
        <w:t xml:space="preserve">G</w:t>
      </w:r>
      <w:r>
        <w:t xml:space="preserve">racilaria vermiculophylla, monitored in the</w:t>
      </w:r>
      <w:r>
        <w:t xml:space="preserve"> </w:t>
      </w:r>
      <w:r>
        <w:t xml:space="preserve">B</w:t>
      </w:r>
      <w:r>
        <w:t xml:space="preserve">ay of</w:t>
      </w:r>
      <w:r>
        <w:t xml:space="preserve"> </w:t>
      </w:r>
      <w:r>
        <w:t xml:space="preserve">B</w:t>
      </w:r>
      <w:r>
        <w:t xml:space="preserve">rest (</w:t>
      </w:r>
      <w:r>
        <w:t xml:space="preserve">F</w:t>
      </w:r>
      <w:r>
        <w:t xml:space="preserve">rance). Journal of Applied Phycology 29, 2651–2666.</w:t>
      </w:r>
    </w:p>
    <w:bookmarkEnd w:id="924"/>
    <w:bookmarkStart w:id="925"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925"/>
    <w:bookmarkStart w:id="926"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926"/>
    <w:bookmarkStart w:id="927"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927"/>
    <w:bookmarkStart w:id="929"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928">
        <w:r>
          <w:rPr>
            <w:rStyle w:val="Hyperlink"/>
          </w:rPr>
          <w:t xml:space="preserve">https://doi.org/10.1007/s11356-011-0479-3</w:t>
        </w:r>
      </w:hyperlink>
    </w:p>
    <w:bookmarkEnd w:id="929"/>
    <w:bookmarkStart w:id="930"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930"/>
    <w:bookmarkStart w:id="931"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931"/>
    <w:bookmarkStart w:id="932" w:name="ref-thomsen2007stress"/>
    <w:p>
      <w:pPr>
        <w:pStyle w:val="Bibliography"/>
      </w:pPr>
      <w:r>
        <w:t xml:space="preserve">Thomsen, M., McGlathery, K.J., 2007. Stress tolerance of the invasive macroalgae codium fragile and gracilaria vermiculophylla in a soft-bottom turbid lagoon. Biological invasions 9, 499–513.</w:t>
      </w:r>
    </w:p>
    <w:bookmarkEnd w:id="932"/>
    <w:bookmarkStart w:id="933"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933"/>
    <w:bookmarkStart w:id="934"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934"/>
    <w:bookmarkStart w:id="935"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935"/>
    <w:bookmarkStart w:id="936"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936"/>
    <w:bookmarkStart w:id="937"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937"/>
    <w:bookmarkStart w:id="939" w:name="ref-Traganos2018"/>
    <w:p>
      <w:pPr>
        <w:pStyle w:val="Bibliography"/>
      </w:pPr>
      <w:r>
        <w:t xml:space="preserve">Traganos, D., Reinartz, P., 2018. Mapping mediterranean seagrasses with sentinel-2 imagery. Marine Pollution Bulletin 134, 197–209.</w:t>
      </w:r>
      <w:r>
        <w:t xml:space="preserve"> </w:t>
      </w:r>
      <w:hyperlink r:id="rId938">
        <w:r>
          <w:rPr>
            <w:rStyle w:val="Hyperlink"/>
          </w:rPr>
          <w:t xml:space="preserve">https://doi.org/10.1016/j.marpolbul.2017.06.075</w:t>
        </w:r>
      </w:hyperlink>
    </w:p>
    <w:bookmarkEnd w:id="939"/>
    <w:bookmarkStart w:id="940"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940"/>
    <w:bookmarkStart w:id="941"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941"/>
    <w:bookmarkStart w:id="943" w:name="ref-maritime_union_trade_2025"/>
    <w:p>
      <w:pPr>
        <w:pStyle w:val="Bibliography"/>
      </w:pPr>
      <w:r>
        <w:t xml:space="preserve">Union, M., 2025. How much trade is maritime? [WWW Document]. URL</w:t>
      </w:r>
      <w:r>
        <w:t xml:space="preserve"> </w:t>
      </w:r>
      <w:hyperlink r:id="rId942">
        <w:r>
          <w:rPr>
            <w:rStyle w:val="Hyperlink"/>
          </w:rPr>
          <w:t xml:space="preserve">https://maritime-union.org/how-much-trade-is-maritime</w:t>
        </w:r>
      </w:hyperlink>
    </w:p>
    <w:bookmarkEnd w:id="943"/>
    <w:bookmarkStart w:id="944" w:name="ref-unsworth2014biodiversity"/>
    <w:p>
      <w:pPr>
        <w:pStyle w:val="Bibliography"/>
      </w:pPr>
      <w:r>
        <w:t xml:space="preserve">Unsworth, R., Cullen-Unsworth, L.C., 2014. Biodiversity, ecosystem services, and the conservation of seagrass meadows. Coast. Conserv 19, 95.</w:t>
      </w:r>
    </w:p>
    <w:bookmarkEnd w:id="944"/>
    <w:bookmarkStart w:id="945" w:name="ref-unsworth2021seagrass"/>
    <w:p>
      <w:pPr>
        <w:pStyle w:val="Bibliography"/>
      </w:pPr>
      <w:r>
        <w:t xml:space="preserve">Unsworth, R.K., Butterworth, E.G., 2021. Seagrass meadows provide a significant resource in support of avifauna. Diversity 13, 363.</w:t>
      </w:r>
    </w:p>
    <w:bookmarkEnd w:id="945"/>
    <w:bookmarkStart w:id="946" w:name="ref-Unsworth2022"/>
    <w:p>
      <w:pPr>
        <w:pStyle w:val="Bibliography"/>
      </w:pPr>
      <w:r>
        <w:t xml:space="preserve">Unsworth, R.K., Cullen-Unsworth, L.C., Jones, B.L., Lilley, R.J., 2022. The planetary role of seagrass conservation. Science 377, 609–613.</w:t>
      </w:r>
    </w:p>
    <w:bookmarkEnd w:id="946"/>
    <w:bookmarkStart w:id="947"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47"/>
    <w:bookmarkStart w:id="948" w:name="ref-unsworth2019seagrass"/>
    <w:p>
      <w:pPr>
        <w:pStyle w:val="Bibliography"/>
      </w:pPr>
      <w:r>
        <w:t xml:space="preserve">Unsworth, R.K., Nordlund, L.M., Cullen-Unsworth, L.C., 2019b. Seagrass meadows support global fisheries production. Conservation Letters 12, e12566.</w:t>
      </w:r>
    </w:p>
    <w:bookmarkEnd w:id="948"/>
    <w:bookmarkStart w:id="949"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949"/>
    <w:bookmarkStart w:id="951"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50">
        <w:r>
          <w:rPr>
            <w:rStyle w:val="Hyperlink"/>
          </w:rPr>
          <w:t xml:space="preserve">https://doi.org/10.1641/0006-3568(2004)054[0523:UISTSE]2.0.CO;2</w:t>
        </w:r>
      </w:hyperlink>
    </w:p>
    <w:bookmarkEnd w:id="951"/>
    <w:bookmarkStart w:id="952" w:name="ref-valderrama2013social"/>
    <w:p>
      <w:pPr>
        <w:pStyle w:val="Bibliography"/>
      </w:pPr>
      <w:r>
        <w:t xml:space="preserve">Valderrama, D., Cai, J., Hishamunda, N., Ridler, N., 2013. Social and economic dimensions of carrageenan seaweed farming.</w:t>
      </w:r>
    </w:p>
    <w:bookmarkEnd w:id="952"/>
    <w:bookmarkStart w:id="953" w:name="ref-valle2014projecting"/>
    <w:p>
      <w:pPr>
        <w:pStyle w:val="Bibliography"/>
      </w:pPr>
      <w:r>
        <w:t xml:space="preserve">Valle, M., Chust, G., Del Campo, A., Wisz, M.S., Olsen, S.M., Garmendia, J.M., Borja, Á., 2014. Projecting future distribution of the seagrass zostera noltii under global warming and sea level rise. Biological Conservation 170, 74–85.</w:t>
      </w:r>
    </w:p>
    <w:bookmarkEnd w:id="953"/>
    <w:bookmarkStart w:id="954"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54"/>
    <w:bookmarkStart w:id="955"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55"/>
    <w:bookmarkStart w:id="957"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56">
        <w:r>
          <w:rPr>
            <w:rStyle w:val="Hyperlink"/>
          </w:rPr>
          <w:t xml:space="preserve">https://doi.org/10.1127/0340-269X/2003/0033-0187</w:t>
        </w:r>
      </w:hyperlink>
    </w:p>
    <w:bookmarkEnd w:id="957"/>
    <w:bookmarkStart w:id="958"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58"/>
    <w:bookmarkStart w:id="959"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59"/>
    <w:bookmarkStart w:id="960"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960"/>
    <w:bookmarkStart w:id="961" w:name="ref-ventura2022seagrass"/>
    <w:p>
      <w:pPr>
        <w:pStyle w:val="Bibliography"/>
      </w:pPr>
      <w:r>
        <w:t xml:space="preserve">Ventura, D., Mancini, G., Casoli, E., Pace, D.S., Lasinio, G.J., Belluscio, A., Ardizzone, G., 2022. Seagrass restoration monitoring and shallow-water benthic habitat mapping through a photogrammetry-based protocol. Journal of Environmental Management 304, 114262.</w:t>
      </w:r>
    </w:p>
    <w:bookmarkEnd w:id="961"/>
    <w:bookmarkStart w:id="962"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62"/>
    <w:bookmarkStart w:id="963"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63"/>
    <w:bookmarkStart w:id="964" w:name="ref-walker1992seagrass"/>
    <w:p>
      <w:pPr>
        <w:pStyle w:val="Bibliography"/>
      </w:pPr>
      <w:r>
        <w:t xml:space="preserve">Walker, D.I., McComb, A.J., 1992. Seagrass degradation in australian coastal waters. Marine Pollution Bulletin 25, 191–195.</w:t>
      </w:r>
    </w:p>
    <w:bookmarkEnd w:id="964"/>
    <w:bookmarkStart w:id="965" w:name="ref-wang2020estimation"/>
    <w:p>
      <w:pPr>
        <w:pStyle w:val="Bibliography"/>
      </w:pPr>
      <w:r>
        <w:t xml:space="preserve">Wang, Y., Fang, H., 2020. Estimation of LAI with the LiDAR technology: A review. Remote Sensing 12, 3457.</w:t>
      </w:r>
    </w:p>
    <w:bookmarkEnd w:id="965"/>
    <w:bookmarkStart w:id="966" w:name="ref-wang2022"/>
    <w:p>
      <w:pPr>
        <w:pStyle w:val="Bibliography"/>
      </w:pPr>
      <w:r>
        <w:t xml:space="preserve">Wang, Z., Fang, Z., Liang, J., Song, X., 2022. Assessment of global habitat suitability and risk of ocean green tides. Harmful Algae 119, 102324.</w:t>
      </w:r>
    </w:p>
    <w:bookmarkEnd w:id="966"/>
    <w:bookmarkStart w:id="967"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67"/>
    <w:bookmarkStart w:id="969" w:name="ref-WEI2015399"/>
    <w:p>
      <w:pPr>
        <w:pStyle w:val="Bibliography"/>
      </w:pPr>
      <w:r>
        <w:t xml:space="preserve">Wei, P., Lu, Z., Song, J., 2015. Variable importance analysis: A comprehensive review. Reliability Engineering and System Safety 142, 399–432. https://doi.org/</w:t>
      </w:r>
      <w:hyperlink r:id="rId968">
        <w:r>
          <w:rPr>
            <w:rStyle w:val="Hyperlink"/>
          </w:rPr>
          <w:t xml:space="preserve">https://doi.org/10.1016/j.ress.2015.05.018</w:t>
        </w:r>
      </w:hyperlink>
    </w:p>
    <w:bookmarkEnd w:id="969"/>
    <w:bookmarkStart w:id="970"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70"/>
    <w:bookmarkStart w:id="971"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71"/>
    <w:bookmarkStart w:id="972" w:name="ref-werbos1974beyond"/>
    <w:p>
      <w:pPr>
        <w:pStyle w:val="Bibliography"/>
      </w:pPr>
      <w:r>
        <w:t xml:space="preserve">Werbos, P., 1974. Beyond regression: New tools for prediction and analysis in the behavioral sciences. PhD thesis, Committee on Applied Mathematics, Harvard University, Cambridge, MA.</w:t>
      </w:r>
    </w:p>
    <w:bookmarkEnd w:id="972"/>
    <w:bookmarkStart w:id="973" w:name="ref-williams2007global"/>
    <w:p>
      <w:pPr>
        <w:pStyle w:val="Bibliography"/>
      </w:pPr>
      <w:r>
        <w:t xml:space="preserve">Williams, S.L., Smith, J.E., 2007. A global review of the distribution, taxonomy, and impacts of introduced seaweeds. Annu. Rev. Ecol. Evol. Syst. 38, 327–359.</w:t>
      </w:r>
    </w:p>
    <w:bookmarkEnd w:id="973"/>
    <w:bookmarkStart w:id="974"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74"/>
    <w:bookmarkStart w:id="975" w:name="ref-wolff2002oyster"/>
    <w:p>
      <w:pPr>
        <w:pStyle w:val="Bibliography"/>
      </w:pPr>
      <w:r>
        <w:t xml:space="preserve">Wolff, W.J., Reise, K., 2002. Oyster imports as a vector for the introduction of alien species into northern and western european coastal waters, in: Invasive Aquatic Species of Europe. Distribution, Impacts and Management. Springer, pp. 193–205.</w:t>
      </w:r>
    </w:p>
    <w:bookmarkEnd w:id="975"/>
    <w:bookmarkStart w:id="977"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976">
        <w:r>
          <w:rPr>
            <w:rStyle w:val="Hyperlink"/>
          </w:rPr>
          <w:t xml:space="preserve">https://doi.org/10.18637/jss.v077.i01</w:t>
        </w:r>
      </w:hyperlink>
    </w:p>
    <w:bookmarkEnd w:id="977"/>
    <w:bookmarkStart w:id="978"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78"/>
    <w:bookmarkStart w:id="980"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79">
        <w:r>
          <w:rPr>
            <w:rStyle w:val="Hyperlink"/>
          </w:rPr>
          <w:t xml:space="preserve">https://doi.org/10.1155/2017/1353691</w:t>
        </w:r>
      </w:hyperlink>
    </w:p>
    <w:bookmarkEnd w:id="980"/>
    <w:bookmarkStart w:id="981"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81"/>
    <w:bookmarkStart w:id="982" w:name="ref-yuan2021review"/>
    <w:p>
      <w:pPr>
        <w:pStyle w:val="Bibliography"/>
      </w:pPr>
      <w:r>
        <w:t xml:space="preserve">Yuan, X., Shi, J., Gu, L., 2021. A review of deep learning methods for semantic segmentation of remote sensing imagery. Expert Systems with Applications 169, 114417.</w:t>
      </w:r>
    </w:p>
    <w:bookmarkEnd w:id="982"/>
    <w:bookmarkStart w:id="983" w:name="ref-zahoor2023water"/>
    <w:p>
      <w:pPr>
        <w:pStyle w:val="Bibliography"/>
      </w:pPr>
      <w:r>
        <w:t xml:space="preserve">Zahoor, I., Mushtaq, A., 2023. Water pollution from agricultural activities: A critical global review. Int. J. Chem. Biochem. Sci 23, 164–176.</w:t>
      </w:r>
    </w:p>
    <w:bookmarkEnd w:id="983"/>
    <w:bookmarkStart w:id="985"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984">
        <w:r>
          <w:rPr>
            <w:rStyle w:val="Hyperlink"/>
          </w:rPr>
          <w:t xml:space="preserve">https://doi.org/10.3390/d14121077</w:t>
        </w:r>
      </w:hyperlink>
    </w:p>
    <w:bookmarkEnd w:id="985"/>
    <w:bookmarkStart w:id="986" w:name="ref-zhu2020analysis"/>
    <w:p>
      <w:pPr>
        <w:pStyle w:val="Bibliography"/>
      </w:pPr>
      <w:r>
        <w:t xml:space="preserve">Zhu, T., 2020. Analysis on the applicability of the random forest, in: Journal of Physics: Conference Series. IOP Publishing, p. 012123.</w:t>
      </w:r>
    </w:p>
    <w:bookmarkEnd w:id="986"/>
    <w:bookmarkStart w:id="987"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87"/>
    <w:bookmarkStart w:id="988"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88"/>
    <w:bookmarkStart w:id="989"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989"/>
    <w:bookmarkEnd w:id="990"/>
    <w:bookmarkEnd w:id="991"/>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5" Target="media/rId55.png" /><Relationship Type="http://schemas.openxmlformats.org/officeDocument/2006/relationships/image" Id="rId126" Target="media/rId126.png" /><Relationship Type="http://schemas.openxmlformats.org/officeDocument/2006/relationships/image" Id="rId113" Target="media/rId113.jp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135" Target="media/rId135.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50" Target="media/rId50.png" /><Relationship Type="http://schemas.openxmlformats.org/officeDocument/2006/relationships/image" Id="rId72" Target="media/rId72.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119" Target="media/rId119.png" /><Relationship Type="http://schemas.openxmlformats.org/officeDocument/2006/relationships/image" Id="rId140" Target="media/rId140.png" /><Relationship Type="http://schemas.openxmlformats.org/officeDocument/2006/relationships/image" Id="rId89" Target="media/rId89.png" /><Relationship Type="http://schemas.openxmlformats.org/officeDocument/2006/relationships/image" Id="rId154" Target="media/rId154.jpg" /><Relationship Type="http://schemas.openxmlformats.org/officeDocument/2006/relationships/image" Id="rId158" Target="media/rId158.jpg" /><Relationship Type="http://schemas.openxmlformats.org/officeDocument/2006/relationships/image" Id="rId163" Target="media/rId163.jpg" /><Relationship Type="http://schemas.openxmlformats.org/officeDocument/2006/relationships/image" Id="rId173" Target="media/rId173.jpg" /><Relationship Type="http://schemas.openxmlformats.org/officeDocument/2006/relationships/image" Id="rId178" Target="media/rId178.jpg" /><Relationship Type="http://schemas.openxmlformats.org/officeDocument/2006/relationships/image" Id="rId183" Target="media/rId183.jpg" /><Relationship Type="http://schemas.openxmlformats.org/officeDocument/2006/relationships/image" Id="rId191" Target="media/rId191.jpg" /><Relationship Type="http://schemas.openxmlformats.org/officeDocument/2006/relationships/image" Id="rId195" Target="media/rId195.jpg" /><Relationship Type="http://schemas.openxmlformats.org/officeDocument/2006/relationships/image" Id="rId200" Target="media/rId200.jpg" /><Relationship Type="http://schemas.openxmlformats.org/officeDocument/2006/relationships/image" Id="rId150" Target="media/rId150.png" /><Relationship Type="http://schemas.openxmlformats.org/officeDocument/2006/relationships/image" Id="rId187" Target="media/rId187.png" /><Relationship Type="http://schemas.openxmlformats.org/officeDocument/2006/relationships/image" Id="rId207" Target="media/rId207.png" /><Relationship Type="http://schemas.openxmlformats.org/officeDocument/2006/relationships/image" Id="rId219" Target="media/rId219.png" /><Relationship Type="http://schemas.openxmlformats.org/officeDocument/2006/relationships/image" Id="rId279" Target="media/rId279.png" /><Relationship Type="http://schemas.openxmlformats.org/officeDocument/2006/relationships/image" Id="rId284" Target="media/rId284.png" /><Relationship Type="http://schemas.openxmlformats.org/officeDocument/2006/relationships/image" Id="rId289" Target="media/rId289.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229" Target="media/rId229.png" /><Relationship Type="http://schemas.openxmlformats.org/officeDocument/2006/relationships/image" Id="rId236" Target="media/rId236.png" /><Relationship Type="http://schemas.openxmlformats.org/officeDocument/2006/relationships/image" Id="rId252" Target="media/rId252.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9" Target="media/rId269.png" /><Relationship Type="http://schemas.openxmlformats.org/officeDocument/2006/relationships/image" Id="rId274" Target="media/rId274.png" /><Relationship Type="http://schemas.openxmlformats.org/officeDocument/2006/relationships/image" Id="rId224" Target="media/rId224.png" /><Relationship Type="http://schemas.openxmlformats.org/officeDocument/2006/relationships/image" Id="rId240" Target="media/rId240.png" /><Relationship Type="http://schemas.openxmlformats.org/officeDocument/2006/relationships/image" Id="rId349" Target="media/rId349.png" /><Relationship Type="http://schemas.openxmlformats.org/officeDocument/2006/relationships/image" Id="rId339" Target="media/rId339.png" /><Relationship Type="http://schemas.openxmlformats.org/officeDocument/2006/relationships/image" Id="rId317" Target="media/rId317.png" /><Relationship Type="http://schemas.openxmlformats.org/officeDocument/2006/relationships/image" Id="rId327" Target="media/rId327.png" /><Relationship Type="http://schemas.openxmlformats.org/officeDocument/2006/relationships/image" Id="rId353" Target="media/rId353.png" /><Relationship Type="http://schemas.openxmlformats.org/officeDocument/2006/relationships/image" Id="rId335" Target="media/rId335.png" /><Relationship Type="http://schemas.openxmlformats.org/officeDocument/2006/relationships/image" Id="rId312" Target="media/rId312.png" /><Relationship Type="http://schemas.openxmlformats.org/officeDocument/2006/relationships/image" Id="rId368" Target="media/rId368.png" /><Relationship Type="http://schemas.openxmlformats.org/officeDocument/2006/relationships/image" Id="rId344" Target="media/rId344.png" /><Relationship Type="http://schemas.openxmlformats.org/officeDocument/2006/relationships/image" Id="rId382" Target="media/rId382.png" /><Relationship Type="http://schemas.openxmlformats.org/officeDocument/2006/relationships/image" Id="rId377" Target="media/rId377.png" /><Relationship Type="http://schemas.openxmlformats.org/officeDocument/2006/relationships/image" Id="rId443" Target="media/rId443.png" /><Relationship Type="http://schemas.openxmlformats.org/officeDocument/2006/relationships/image" Id="rId430" Target="media/rId430.png" /><Relationship Type="http://schemas.openxmlformats.org/officeDocument/2006/relationships/image" Id="rId391" Target="media/rId391.png" /><Relationship Type="http://schemas.openxmlformats.org/officeDocument/2006/relationships/image" Id="rId398" Target="media/rId398.png" /><Relationship Type="http://schemas.openxmlformats.org/officeDocument/2006/relationships/image" Id="rId424" Target="media/rId424.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5" Target="media/rId455.png" /><Relationship Type="http://schemas.openxmlformats.org/officeDocument/2006/relationships/image" Id="rId402" Target="media/rId402.png" /><Relationship Type="http://schemas.openxmlformats.org/officeDocument/2006/relationships/image" Id="rId420" Target="media/rId420.png" /><Relationship Type="http://schemas.openxmlformats.org/officeDocument/2006/relationships/image" Id="rId415" Target="media/rId415.png" /><Relationship Type="http://schemas.openxmlformats.org/officeDocument/2006/relationships/image" Id="rId467" Target="media/rId467.jpg" /><Relationship Type="http://schemas.openxmlformats.org/officeDocument/2006/relationships/image" Id="rId480" Target="media/rId480.jpg" /><Relationship Type="http://schemas.openxmlformats.org/officeDocument/2006/relationships/image" Id="rId484" Target="media/rId484.jpg" /><Relationship Type="http://schemas.openxmlformats.org/officeDocument/2006/relationships/image" Id="rId476" Target="media/rId476.jpg" /><Relationship Type="http://schemas.openxmlformats.org/officeDocument/2006/relationships/image" Id="rId471" Target="media/rId471.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hyperlink" Id="rId552" Target="http://arxiv.org/abs/1710.02939" TargetMode="External" /><Relationship Type="http://schemas.openxmlformats.org/officeDocument/2006/relationships/hyperlink" Id="rId505" Target="http://prisma.asi.it/missionselect/docs/PRISMA%20Product%20Specifications_Is2_3.pdf" TargetMode="External" /><Relationship Type="http://schemas.openxmlformats.org/officeDocument/2006/relationships/hyperlink" Id="rId569" Target="https://CRAN.R-project.org/package = shiny" TargetMode="External" /><Relationship Type="http://schemas.openxmlformats.org/officeDocument/2006/relationships/hyperlink" Id="rId686" Target="https://CRAN.R-project.org/package = terra" TargetMode="External" /><Relationship Type="http://schemas.openxmlformats.org/officeDocument/2006/relationships/hyperlink" Id="rId654" Target="https://CRAN.R-project.org/package=rsample" TargetMode="External" /><Relationship Type="http://schemas.openxmlformats.org/officeDocument/2006/relationships/hyperlink" Id="rId824" Target="https://CRAN.R-project.org/package=vegan" TargetMode="External" /><Relationship Type="http://schemas.openxmlformats.org/officeDocument/2006/relationships/hyperlink" Id="rId729"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902" Target="https://diffusion.shom.fr/references-altimetriques-maritimes-ram.html" TargetMode="External" /><Relationship Type="http://schemas.openxmlformats.org/officeDocument/2006/relationships/hyperlink" Id="rId800" Target="https://doi.org/10.1002/eap.1682" TargetMode="External" /><Relationship Type="http://schemas.openxmlformats.org/officeDocument/2006/relationships/hyperlink" Id="rId565"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62" Target="https://doi.org/10.1007/s00227-012-1987-5" TargetMode="External" /><Relationship Type="http://schemas.openxmlformats.org/officeDocument/2006/relationships/hyperlink" Id="rId595" Target="https://doi.org/10.1007/s11099-007-0084-3" TargetMode="External" /><Relationship Type="http://schemas.openxmlformats.org/officeDocument/2006/relationships/hyperlink" Id="rId928" Target="https://doi.org/10.1007/s11356-011-0479-3" TargetMode="External" /><Relationship Type="http://schemas.openxmlformats.org/officeDocument/2006/relationships/hyperlink" Id="rId521" Target="https://doi.org/10.1007/s12237-021-00949-8" TargetMode="External" /><Relationship Type="http://schemas.openxmlformats.org/officeDocument/2006/relationships/hyperlink" Id="rId721" Target="https://doi.org/10.1016/S0034-4257(70)80021-9" TargetMode="External" /><Relationship Type="http://schemas.openxmlformats.org/officeDocument/2006/relationships/hyperlink" Id="rId711" Target="https://doi.org/10.1016/S0304-4238(05)80016-0" TargetMode="External" /><Relationship Type="http://schemas.openxmlformats.org/officeDocument/2006/relationships/hyperlink" Id="rId571" Target="https://doi.org/10.1016/j.algal.2017.04.021" TargetMode="External" /><Relationship Type="http://schemas.openxmlformats.org/officeDocument/2006/relationships/hyperlink" Id="rId516" Target="https://doi.org/10.1016/j.aquabot.2009.11.006" TargetMode="External" /><Relationship Type="http://schemas.openxmlformats.org/officeDocument/2006/relationships/hyperlink" Id="rId560" Target="https://doi.org/10.1016/j.csr.2013.01.010" TargetMode="External" /><Relationship Type="http://schemas.openxmlformats.org/officeDocument/2006/relationships/hyperlink" Id="rId591" Target="https://doi.org/10.1016/j.ecolind.2020.107018" TargetMode="External" /><Relationship Type="http://schemas.openxmlformats.org/officeDocument/2006/relationships/hyperlink" Id="rId884" Target="https://doi.org/10.1016/j.ecoser.2022.101414" TargetMode="External" /><Relationship Type="http://schemas.openxmlformats.org/officeDocument/2006/relationships/hyperlink" Id="rId733" Target="https://doi.org/10.1016/j.ecss.2005.12.004" TargetMode="External" /><Relationship Type="http://schemas.openxmlformats.org/officeDocument/2006/relationships/hyperlink" Id="rId662" Target="https://doi.org/10.1016/j.ecss.2021.107320" TargetMode="External" /><Relationship Type="http://schemas.openxmlformats.org/officeDocument/2006/relationships/hyperlink" Id="rId692" Target="https://doi.org/10.1016/j.envpol.2021.117731" TargetMode="External" /><Relationship Type="http://schemas.openxmlformats.org/officeDocument/2006/relationships/hyperlink" Id="rId512" Target="https://doi.org/10.1016/j.jembe.2013.04.012" TargetMode="External" /><Relationship Type="http://schemas.openxmlformats.org/officeDocument/2006/relationships/hyperlink" Id="rId780" Target="https://doi.org/10.1016/j.jphotobiol.2013.10.005" TargetMode="External" /><Relationship Type="http://schemas.openxmlformats.org/officeDocument/2006/relationships/hyperlink" Id="rId894" Target="https://doi.org/10.1016/j.marenvres.2021.105475" TargetMode="External" /><Relationship Type="http://schemas.openxmlformats.org/officeDocument/2006/relationships/hyperlink" Id="rId938" Target="https://doi.org/10.1016/j.marpolbul.2017.06.075" TargetMode="External" /><Relationship Type="http://schemas.openxmlformats.org/officeDocument/2006/relationships/hyperlink" Id="rId968" Target="https://doi.org/10.1016/j.ress.2015.05.018" TargetMode="External" /><Relationship Type="http://schemas.openxmlformats.org/officeDocument/2006/relationships/hyperlink" Id="rId514" Target="https://doi.org/10.1016/j.rse.2010.12.008" TargetMode="External" /><Relationship Type="http://schemas.openxmlformats.org/officeDocument/2006/relationships/hyperlink" Id="rId617" Target="https://doi.org/10.1016/j.rse.2015.01.027" TargetMode="External" /><Relationship Type="http://schemas.openxmlformats.org/officeDocument/2006/relationships/hyperlink" Id="rId684" Target="https://doi.org/10.1016/j.rse.2015.05.023" TargetMode="External" /><Relationship Type="http://schemas.openxmlformats.org/officeDocument/2006/relationships/hyperlink" Id="rId695" Target="https://doi.org/10.1016/j.rse.2017.01.037" TargetMode="External" /><Relationship Type="http://schemas.openxmlformats.org/officeDocument/2006/relationships/hyperlink" Id="rId599" Target="https://doi.org/10.1016/j.rse.2023.113554" TargetMode="External" /><Relationship Type="http://schemas.openxmlformats.org/officeDocument/2006/relationships/hyperlink" Id="rId604" Target="https://doi.org/10.1016/j.rse.2024.114340" TargetMode="External" /><Relationship Type="http://schemas.openxmlformats.org/officeDocument/2006/relationships/hyperlink" Id="rId527" Target="https://doi.org/10.1016/j.seares.2014.02.014" TargetMode="External" /><Relationship Type="http://schemas.openxmlformats.org/officeDocument/2006/relationships/hyperlink" Id="rId794" Target="https://doi.org/10.1017/s0031182002001476" TargetMode="External" /><Relationship Type="http://schemas.openxmlformats.org/officeDocument/2006/relationships/hyperlink" Id="rId803" Target="https://doi.org/10.1038/s41586-018-0805-8" TargetMode="External" /><Relationship Type="http://schemas.openxmlformats.org/officeDocument/2006/relationships/hyperlink" Id="rId790" Target="https://doi.org/10.1038/s41598-021-83597-z" TargetMode="External" /><Relationship Type="http://schemas.openxmlformats.org/officeDocument/2006/relationships/hyperlink" Id="rId602" Target="https://doi.org/10.1038/s43247-024-01543-z" TargetMode="External" /><Relationship Type="http://schemas.openxmlformats.org/officeDocument/2006/relationships/hyperlink" Id="rId727" Target="https://doi.org/10.1063/1.44433" TargetMode="External" /><Relationship Type="http://schemas.openxmlformats.org/officeDocument/2006/relationships/hyperlink" Id="rId783" Target="https://doi.org/10.1080/17445647.2021.1925170" TargetMode="External" /><Relationship Type="http://schemas.openxmlformats.org/officeDocument/2006/relationships/hyperlink" Id="rId787" Target="https://doi.org/10.1111/GCB.14108" TargetMode="External" /><Relationship Type="http://schemas.openxmlformats.org/officeDocument/2006/relationships/hyperlink" Id="rId956" Target="https://doi.org/10.1127/0340-269X/2003/0033-0187" TargetMode="External" /><Relationship Type="http://schemas.openxmlformats.org/officeDocument/2006/relationships/hyperlink" Id="rId918" Target="https://doi.org/10.1152/physiol.00040.2018" TargetMode="External" /><Relationship Type="http://schemas.openxmlformats.org/officeDocument/2006/relationships/hyperlink" Id="rId979" Target="https://doi.org/10.1155/2017/1353691" TargetMode="External" /><Relationship Type="http://schemas.openxmlformats.org/officeDocument/2006/relationships/hyperlink" Id="rId713" Target="https://doi.org/10.1177/0309133309339563" TargetMode="External" /><Relationship Type="http://schemas.openxmlformats.org/officeDocument/2006/relationships/hyperlink" Id="rId606" Target="https://doi.org/10.15468/n4ak6x" TargetMode="External" /><Relationship Type="http://schemas.openxmlformats.org/officeDocument/2006/relationships/hyperlink" Id="rId950" Target="https://doi.org/10.1641/0006-3568(2004)054[0523:UISTSE]2.0.CO;2" TargetMode="External" /><Relationship Type="http://schemas.openxmlformats.org/officeDocument/2006/relationships/hyperlink" Id="rId557" Target="https://doi.org/10.18637/jss.v076.i01" TargetMode="External" /><Relationship Type="http://schemas.openxmlformats.org/officeDocument/2006/relationships/hyperlink" Id="rId976" Target="https://doi.org/10.18637/jss.v077.i01" TargetMode="External" /><Relationship Type="http://schemas.openxmlformats.org/officeDocument/2006/relationships/hyperlink" Id="rId547" Target="https://doi.org/10.18637/jss.v080.i01" TargetMode="External" /><Relationship Type="http://schemas.openxmlformats.org/officeDocument/2006/relationships/hyperlink" Id="rId543" Target="https://doi.org/10.18637/jss.v100.i05" TargetMode="External" /><Relationship Type="http://schemas.openxmlformats.org/officeDocument/2006/relationships/hyperlink" Id="rId888" Target="https://doi.org/10.21105/joss.00821" TargetMode="External" /><Relationship Type="http://schemas.openxmlformats.org/officeDocument/2006/relationships/hyperlink" Id="rId908" Target="https://doi.org/10.2307/2657019" TargetMode="External" /><Relationship Type="http://schemas.openxmlformats.org/officeDocument/2006/relationships/hyperlink" Id="rId642" Target="https://doi.org/10.2785/7794" TargetMode="External" /><Relationship Type="http://schemas.openxmlformats.org/officeDocument/2006/relationships/hyperlink" Id="rId545" Target="https://doi.org/10.32614/RJ-2018-017" TargetMode="External" /><Relationship Type="http://schemas.openxmlformats.org/officeDocument/2006/relationships/hyperlink" Id="rId669" Target="https://doi.org/10.32614/RJ-2020-013" TargetMode="External" /><Relationship Type="http://schemas.openxmlformats.org/officeDocument/2006/relationships/hyperlink" Id="rId886" Target="https://doi.org/10.3389/fevo.2021.767548" TargetMode="External" /><Relationship Type="http://schemas.openxmlformats.org/officeDocument/2006/relationships/hyperlink" Id="rId539" Target="https://doi.org/10.3390/RS14020307" TargetMode="External" /><Relationship Type="http://schemas.openxmlformats.org/officeDocument/2006/relationships/hyperlink" Id="rId681" Target="https://doi.org/10.3390/app8122688" TargetMode="External" /><Relationship Type="http://schemas.openxmlformats.org/officeDocument/2006/relationships/hyperlink" Id="rId984" Target="https://doi.org/10.3390/d14121077" TargetMode="External" /><Relationship Type="http://schemas.openxmlformats.org/officeDocument/2006/relationships/hyperlink" Id="rId768" Target="https://doi.org/10.3390/d15020161" TargetMode="External" /><Relationship Type="http://schemas.openxmlformats.org/officeDocument/2006/relationships/hyperlink" Id="rId772" Target="https://doi.org/10.3390/rs11060704" TargetMode="External" /><Relationship Type="http://schemas.openxmlformats.org/officeDocument/2006/relationships/hyperlink" Id="rId622" Target="https://doi.org/10.3390/rs14020346" TargetMode="External" /><Relationship Type="http://schemas.openxmlformats.org/officeDocument/2006/relationships/hyperlink" Id="rId620" Target="https://doi.org/10.3390/rs14133124" TargetMode="External" /><Relationship Type="http://schemas.openxmlformats.org/officeDocument/2006/relationships/hyperlink" Id="rId822" Target="https://doi.org/10.3390/rs16234383" TargetMode="External" /><Relationship Type="http://schemas.openxmlformats.org/officeDocument/2006/relationships/hyperlink" Id="rId581" Target="https://doi.org/10.48670/moi-00311" TargetMode="External" /><Relationship Type="http://schemas.openxmlformats.org/officeDocument/2006/relationships/hyperlink" Id="rId831" Target="https://doi.org/10.5281/zenodo.3463051" TargetMode="External" /><Relationship Type="http://schemas.openxmlformats.org/officeDocument/2006/relationships/hyperlink" Id="rId579" Target="https://doi.org/10.59327/IPCC/AR6-9789291691647.001" TargetMode="External" /><Relationship Type="http://schemas.openxmlformats.org/officeDocument/2006/relationships/hyperlink" Id="rId634" Target="https://electricblue.eu/intertidal-chamber" TargetMode="External" /><Relationship Type="http://schemas.openxmlformats.org/officeDocument/2006/relationships/hyperlink" Id="rId29" Target="https://hygeos.com/en/" TargetMode="External" /><Relationship Type="http://schemas.openxmlformats.org/officeDocument/2006/relationships/hyperlink" Id="rId536" Target="https://ipbes.net/global-assessment%0Ahttps://ipbes.net/global-assessment-report-biodiversity-ecosystem-services" TargetMode="External" /><Relationship Type="http://schemas.openxmlformats.org/officeDocument/2006/relationships/hyperlink" Id="rId833" Target="https://marinespecies.org/aphia.php?p = sourcedetails&amp;id = 303450" TargetMode="External" /><Relationship Type="http://schemas.openxmlformats.org/officeDocument/2006/relationships/hyperlink" Id="rId942" Target="https://maritime-union.org/how-much-trade-is-maritime" TargetMode="External" /><Relationship Type="http://schemas.openxmlformats.org/officeDocument/2006/relationships/hyperlink" Id="rId819"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98" Target="https://services.data.shom.fr/geonetwork/srv/fre/catalog.search#/metadata/BATHYMETRIE_LITTO3D_BZH_2018_2021.xml" TargetMode="External" /><Relationship Type="http://schemas.openxmlformats.org/officeDocument/2006/relationships/hyperlink" Id="rId847" Target="https://www.R-project.org/" TargetMode="External" /><Relationship Type="http://schemas.openxmlformats.org/officeDocument/2006/relationships/hyperlink" Id="rId495" Target="https://www.agisoft.com/" TargetMode="External" /><Relationship Type="http://schemas.openxmlformats.org/officeDocument/2006/relationships/hyperlink" Id="rId28" Target="https://www.dlr.de/en" TargetMode="External" /><Relationship Type="http://schemas.openxmlformats.org/officeDocument/2006/relationships/hyperlink" Id="rId698" Target="https://www.ign.fr" TargetMode="External" /><Relationship Type="http://schemas.openxmlformats.org/officeDocument/2006/relationships/hyperlink" Id="rId644" Target="https://www.imo.org" TargetMode="External" /><Relationship Type="http://schemas.openxmlformats.org/officeDocument/2006/relationships/hyperlink" Id="rId702" Target="https://www.ioc-sealevelmonitoring.org/station.php?code = lecy" TargetMode="External" /><Relationship Type="http://schemas.openxmlformats.org/officeDocument/2006/relationships/hyperlink" Id="rId705" Target="https://www.itopf.org/knowledge-resources/data-statistics/statistics/" TargetMode="External" /><Relationship Type="http://schemas.openxmlformats.org/officeDocument/2006/relationships/hyperlink" Id="rId759" Target="https://www.malvernpanalytical.com/en/support/product-support/software/rs3" TargetMode="External" /><Relationship Type="http://schemas.openxmlformats.org/officeDocument/2006/relationships/hyperlink" Id="rId860" Target="https://www.reuters.com/business/environment/aquafarming-becomes-main-global-source-fish-un-food-agency-says-2024-06-07/" TargetMode="External" /><Relationship Type="http://schemas.openxmlformats.org/officeDocument/2006/relationships/hyperlink" Id="rId900" Target="https://www.shom.fr" TargetMode="External" /><Relationship Type="http://schemas.openxmlformats.org/officeDocument/2006/relationships/hyperlink" Id="rId731"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52" Target="http://arxiv.org/abs/1710.02939" TargetMode="External" /><Relationship Type="http://schemas.openxmlformats.org/officeDocument/2006/relationships/hyperlink" Id="rId505" Target="http://prisma.asi.it/missionselect/docs/PRISMA%20Product%20Specifications_Is2_3.pdf" TargetMode="External" /><Relationship Type="http://schemas.openxmlformats.org/officeDocument/2006/relationships/hyperlink" Id="rId569" Target="https://CRAN.R-project.org/package = shiny" TargetMode="External" /><Relationship Type="http://schemas.openxmlformats.org/officeDocument/2006/relationships/hyperlink" Id="rId686" Target="https://CRAN.R-project.org/package = terra" TargetMode="External" /><Relationship Type="http://schemas.openxmlformats.org/officeDocument/2006/relationships/hyperlink" Id="rId654" Target="https://CRAN.R-project.org/package=rsample" TargetMode="External" /><Relationship Type="http://schemas.openxmlformats.org/officeDocument/2006/relationships/hyperlink" Id="rId824" Target="https://CRAN.R-project.org/package=vegan" TargetMode="External" /><Relationship Type="http://schemas.openxmlformats.org/officeDocument/2006/relationships/hyperlink" Id="rId729"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902" Target="https://diffusion.shom.fr/references-altimetriques-maritimes-ram.html" TargetMode="External" /><Relationship Type="http://schemas.openxmlformats.org/officeDocument/2006/relationships/hyperlink" Id="rId800" Target="https://doi.org/10.1002/eap.1682" TargetMode="External" /><Relationship Type="http://schemas.openxmlformats.org/officeDocument/2006/relationships/hyperlink" Id="rId565"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62" Target="https://doi.org/10.1007/s00227-012-1987-5" TargetMode="External" /><Relationship Type="http://schemas.openxmlformats.org/officeDocument/2006/relationships/hyperlink" Id="rId595" Target="https://doi.org/10.1007/s11099-007-0084-3" TargetMode="External" /><Relationship Type="http://schemas.openxmlformats.org/officeDocument/2006/relationships/hyperlink" Id="rId928" Target="https://doi.org/10.1007/s11356-011-0479-3" TargetMode="External" /><Relationship Type="http://schemas.openxmlformats.org/officeDocument/2006/relationships/hyperlink" Id="rId521" Target="https://doi.org/10.1007/s12237-021-00949-8" TargetMode="External" /><Relationship Type="http://schemas.openxmlformats.org/officeDocument/2006/relationships/hyperlink" Id="rId721" Target="https://doi.org/10.1016/S0034-4257(70)80021-9" TargetMode="External" /><Relationship Type="http://schemas.openxmlformats.org/officeDocument/2006/relationships/hyperlink" Id="rId711" Target="https://doi.org/10.1016/S0304-4238(05)80016-0" TargetMode="External" /><Relationship Type="http://schemas.openxmlformats.org/officeDocument/2006/relationships/hyperlink" Id="rId571" Target="https://doi.org/10.1016/j.algal.2017.04.021" TargetMode="External" /><Relationship Type="http://schemas.openxmlformats.org/officeDocument/2006/relationships/hyperlink" Id="rId516" Target="https://doi.org/10.1016/j.aquabot.2009.11.006" TargetMode="External" /><Relationship Type="http://schemas.openxmlformats.org/officeDocument/2006/relationships/hyperlink" Id="rId560" Target="https://doi.org/10.1016/j.csr.2013.01.010" TargetMode="External" /><Relationship Type="http://schemas.openxmlformats.org/officeDocument/2006/relationships/hyperlink" Id="rId591" Target="https://doi.org/10.1016/j.ecolind.2020.107018" TargetMode="External" /><Relationship Type="http://schemas.openxmlformats.org/officeDocument/2006/relationships/hyperlink" Id="rId884" Target="https://doi.org/10.1016/j.ecoser.2022.101414" TargetMode="External" /><Relationship Type="http://schemas.openxmlformats.org/officeDocument/2006/relationships/hyperlink" Id="rId733" Target="https://doi.org/10.1016/j.ecss.2005.12.004" TargetMode="External" /><Relationship Type="http://schemas.openxmlformats.org/officeDocument/2006/relationships/hyperlink" Id="rId662" Target="https://doi.org/10.1016/j.ecss.2021.107320" TargetMode="External" /><Relationship Type="http://schemas.openxmlformats.org/officeDocument/2006/relationships/hyperlink" Id="rId692" Target="https://doi.org/10.1016/j.envpol.2021.117731" TargetMode="External" /><Relationship Type="http://schemas.openxmlformats.org/officeDocument/2006/relationships/hyperlink" Id="rId512" Target="https://doi.org/10.1016/j.jembe.2013.04.012" TargetMode="External" /><Relationship Type="http://schemas.openxmlformats.org/officeDocument/2006/relationships/hyperlink" Id="rId780" Target="https://doi.org/10.1016/j.jphotobiol.2013.10.005" TargetMode="External" /><Relationship Type="http://schemas.openxmlformats.org/officeDocument/2006/relationships/hyperlink" Id="rId894" Target="https://doi.org/10.1016/j.marenvres.2021.105475" TargetMode="External" /><Relationship Type="http://schemas.openxmlformats.org/officeDocument/2006/relationships/hyperlink" Id="rId938" Target="https://doi.org/10.1016/j.marpolbul.2017.06.075" TargetMode="External" /><Relationship Type="http://schemas.openxmlformats.org/officeDocument/2006/relationships/hyperlink" Id="rId968" Target="https://doi.org/10.1016/j.ress.2015.05.018" TargetMode="External" /><Relationship Type="http://schemas.openxmlformats.org/officeDocument/2006/relationships/hyperlink" Id="rId514" Target="https://doi.org/10.1016/j.rse.2010.12.008" TargetMode="External" /><Relationship Type="http://schemas.openxmlformats.org/officeDocument/2006/relationships/hyperlink" Id="rId617" Target="https://doi.org/10.1016/j.rse.2015.01.027" TargetMode="External" /><Relationship Type="http://schemas.openxmlformats.org/officeDocument/2006/relationships/hyperlink" Id="rId684" Target="https://doi.org/10.1016/j.rse.2015.05.023" TargetMode="External" /><Relationship Type="http://schemas.openxmlformats.org/officeDocument/2006/relationships/hyperlink" Id="rId695" Target="https://doi.org/10.1016/j.rse.2017.01.037" TargetMode="External" /><Relationship Type="http://schemas.openxmlformats.org/officeDocument/2006/relationships/hyperlink" Id="rId599" Target="https://doi.org/10.1016/j.rse.2023.113554" TargetMode="External" /><Relationship Type="http://schemas.openxmlformats.org/officeDocument/2006/relationships/hyperlink" Id="rId604" Target="https://doi.org/10.1016/j.rse.2024.114340" TargetMode="External" /><Relationship Type="http://schemas.openxmlformats.org/officeDocument/2006/relationships/hyperlink" Id="rId527" Target="https://doi.org/10.1016/j.seares.2014.02.014" TargetMode="External" /><Relationship Type="http://schemas.openxmlformats.org/officeDocument/2006/relationships/hyperlink" Id="rId794" Target="https://doi.org/10.1017/s0031182002001476" TargetMode="External" /><Relationship Type="http://schemas.openxmlformats.org/officeDocument/2006/relationships/hyperlink" Id="rId803" Target="https://doi.org/10.1038/s41586-018-0805-8" TargetMode="External" /><Relationship Type="http://schemas.openxmlformats.org/officeDocument/2006/relationships/hyperlink" Id="rId790" Target="https://doi.org/10.1038/s41598-021-83597-z" TargetMode="External" /><Relationship Type="http://schemas.openxmlformats.org/officeDocument/2006/relationships/hyperlink" Id="rId602" Target="https://doi.org/10.1038/s43247-024-01543-z" TargetMode="External" /><Relationship Type="http://schemas.openxmlformats.org/officeDocument/2006/relationships/hyperlink" Id="rId727" Target="https://doi.org/10.1063/1.44433" TargetMode="External" /><Relationship Type="http://schemas.openxmlformats.org/officeDocument/2006/relationships/hyperlink" Id="rId783" Target="https://doi.org/10.1080/17445647.2021.1925170" TargetMode="External" /><Relationship Type="http://schemas.openxmlformats.org/officeDocument/2006/relationships/hyperlink" Id="rId787" Target="https://doi.org/10.1111/GCB.14108" TargetMode="External" /><Relationship Type="http://schemas.openxmlformats.org/officeDocument/2006/relationships/hyperlink" Id="rId956" Target="https://doi.org/10.1127/0340-269X/2003/0033-0187" TargetMode="External" /><Relationship Type="http://schemas.openxmlformats.org/officeDocument/2006/relationships/hyperlink" Id="rId918" Target="https://doi.org/10.1152/physiol.00040.2018" TargetMode="External" /><Relationship Type="http://schemas.openxmlformats.org/officeDocument/2006/relationships/hyperlink" Id="rId979" Target="https://doi.org/10.1155/2017/1353691" TargetMode="External" /><Relationship Type="http://schemas.openxmlformats.org/officeDocument/2006/relationships/hyperlink" Id="rId713" Target="https://doi.org/10.1177/0309133309339563" TargetMode="External" /><Relationship Type="http://schemas.openxmlformats.org/officeDocument/2006/relationships/hyperlink" Id="rId606" Target="https://doi.org/10.15468/n4ak6x" TargetMode="External" /><Relationship Type="http://schemas.openxmlformats.org/officeDocument/2006/relationships/hyperlink" Id="rId950" Target="https://doi.org/10.1641/0006-3568(2004)054[0523:UISTSE]2.0.CO;2" TargetMode="External" /><Relationship Type="http://schemas.openxmlformats.org/officeDocument/2006/relationships/hyperlink" Id="rId557" Target="https://doi.org/10.18637/jss.v076.i01" TargetMode="External" /><Relationship Type="http://schemas.openxmlformats.org/officeDocument/2006/relationships/hyperlink" Id="rId976" Target="https://doi.org/10.18637/jss.v077.i01" TargetMode="External" /><Relationship Type="http://schemas.openxmlformats.org/officeDocument/2006/relationships/hyperlink" Id="rId547" Target="https://doi.org/10.18637/jss.v080.i01" TargetMode="External" /><Relationship Type="http://schemas.openxmlformats.org/officeDocument/2006/relationships/hyperlink" Id="rId543" Target="https://doi.org/10.18637/jss.v100.i05" TargetMode="External" /><Relationship Type="http://schemas.openxmlformats.org/officeDocument/2006/relationships/hyperlink" Id="rId888" Target="https://doi.org/10.21105/joss.00821" TargetMode="External" /><Relationship Type="http://schemas.openxmlformats.org/officeDocument/2006/relationships/hyperlink" Id="rId908" Target="https://doi.org/10.2307/2657019" TargetMode="External" /><Relationship Type="http://schemas.openxmlformats.org/officeDocument/2006/relationships/hyperlink" Id="rId642" Target="https://doi.org/10.2785/7794" TargetMode="External" /><Relationship Type="http://schemas.openxmlformats.org/officeDocument/2006/relationships/hyperlink" Id="rId545" Target="https://doi.org/10.32614/RJ-2018-017" TargetMode="External" /><Relationship Type="http://schemas.openxmlformats.org/officeDocument/2006/relationships/hyperlink" Id="rId669" Target="https://doi.org/10.32614/RJ-2020-013" TargetMode="External" /><Relationship Type="http://schemas.openxmlformats.org/officeDocument/2006/relationships/hyperlink" Id="rId886" Target="https://doi.org/10.3389/fevo.2021.767548" TargetMode="External" /><Relationship Type="http://schemas.openxmlformats.org/officeDocument/2006/relationships/hyperlink" Id="rId539" Target="https://doi.org/10.3390/RS14020307" TargetMode="External" /><Relationship Type="http://schemas.openxmlformats.org/officeDocument/2006/relationships/hyperlink" Id="rId681" Target="https://doi.org/10.3390/app8122688" TargetMode="External" /><Relationship Type="http://schemas.openxmlformats.org/officeDocument/2006/relationships/hyperlink" Id="rId984" Target="https://doi.org/10.3390/d14121077" TargetMode="External" /><Relationship Type="http://schemas.openxmlformats.org/officeDocument/2006/relationships/hyperlink" Id="rId768" Target="https://doi.org/10.3390/d15020161" TargetMode="External" /><Relationship Type="http://schemas.openxmlformats.org/officeDocument/2006/relationships/hyperlink" Id="rId772" Target="https://doi.org/10.3390/rs11060704" TargetMode="External" /><Relationship Type="http://schemas.openxmlformats.org/officeDocument/2006/relationships/hyperlink" Id="rId622" Target="https://doi.org/10.3390/rs14020346" TargetMode="External" /><Relationship Type="http://schemas.openxmlformats.org/officeDocument/2006/relationships/hyperlink" Id="rId620" Target="https://doi.org/10.3390/rs14133124" TargetMode="External" /><Relationship Type="http://schemas.openxmlformats.org/officeDocument/2006/relationships/hyperlink" Id="rId822" Target="https://doi.org/10.3390/rs16234383" TargetMode="External" /><Relationship Type="http://schemas.openxmlformats.org/officeDocument/2006/relationships/hyperlink" Id="rId581" Target="https://doi.org/10.48670/moi-00311" TargetMode="External" /><Relationship Type="http://schemas.openxmlformats.org/officeDocument/2006/relationships/hyperlink" Id="rId831" Target="https://doi.org/10.5281/zenodo.3463051" TargetMode="External" /><Relationship Type="http://schemas.openxmlformats.org/officeDocument/2006/relationships/hyperlink" Id="rId579" Target="https://doi.org/10.59327/IPCC/AR6-9789291691647.001" TargetMode="External" /><Relationship Type="http://schemas.openxmlformats.org/officeDocument/2006/relationships/hyperlink" Id="rId634" Target="https://electricblue.eu/intertidal-chamber" TargetMode="External" /><Relationship Type="http://schemas.openxmlformats.org/officeDocument/2006/relationships/hyperlink" Id="rId29" Target="https://hygeos.com/en/" TargetMode="External" /><Relationship Type="http://schemas.openxmlformats.org/officeDocument/2006/relationships/hyperlink" Id="rId536" Target="https://ipbes.net/global-assessment%0Ahttps://ipbes.net/global-assessment-report-biodiversity-ecosystem-services" TargetMode="External" /><Relationship Type="http://schemas.openxmlformats.org/officeDocument/2006/relationships/hyperlink" Id="rId833" Target="https://marinespecies.org/aphia.php?p = sourcedetails&amp;id = 303450" TargetMode="External" /><Relationship Type="http://schemas.openxmlformats.org/officeDocument/2006/relationships/hyperlink" Id="rId942" Target="https://maritime-union.org/how-much-trade-is-maritime" TargetMode="External" /><Relationship Type="http://schemas.openxmlformats.org/officeDocument/2006/relationships/hyperlink" Id="rId819"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98" Target="https://services.data.shom.fr/geonetwork/srv/fre/catalog.search#/metadata/BATHYMETRIE_LITTO3D_BZH_2018_2021.xml" TargetMode="External" /><Relationship Type="http://schemas.openxmlformats.org/officeDocument/2006/relationships/hyperlink" Id="rId847" Target="https://www.R-project.org/" TargetMode="External" /><Relationship Type="http://schemas.openxmlformats.org/officeDocument/2006/relationships/hyperlink" Id="rId495" Target="https://www.agisoft.com/" TargetMode="External" /><Relationship Type="http://schemas.openxmlformats.org/officeDocument/2006/relationships/hyperlink" Id="rId28" Target="https://www.dlr.de/en" TargetMode="External" /><Relationship Type="http://schemas.openxmlformats.org/officeDocument/2006/relationships/hyperlink" Id="rId698" Target="https://www.ign.fr" TargetMode="External" /><Relationship Type="http://schemas.openxmlformats.org/officeDocument/2006/relationships/hyperlink" Id="rId644" Target="https://www.imo.org" TargetMode="External" /><Relationship Type="http://schemas.openxmlformats.org/officeDocument/2006/relationships/hyperlink" Id="rId702" Target="https://www.ioc-sealevelmonitoring.org/station.php?code = lecy" TargetMode="External" /><Relationship Type="http://schemas.openxmlformats.org/officeDocument/2006/relationships/hyperlink" Id="rId705" Target="https://www.itopf.org/knowledge-resources/data-statistics/statistics/" TargetMode="External" /><Relationship Type="http://schemas.openxmlformats.org/officeDocument/2006/relationships/hyperlink" Id="rId759" Target="https://www.malvernpanalytical.com/en/support/product-support/software/rs3" TargetMode="External" /><Relationship Type="http://schemas.openxmlformats.org/officeDocument/2006/relationships/hyperlink" Id="rId860" Target="https://www.reuters.com/business/environment/aquafarming-becomes-main-global-source-fish-un-food-agency-says-2024-06-07/" TargetMode="External" /><Relationship Type="http://schemas.openxmlformats.org/officeDocument/2006/relationships/hyperlink" Id="rId900" Target="https://www.shom.fr" TargetMode="External" /><Relationship Type="http://schemas.openxmlformats.org/officeDocument/2006/relationships/hyperlink" Id="rId731"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2025-04-04T10:07:05Z</dcterms:created>
  <dcterms:modified xsi:type="dcterms:W3CDTF">2025-04-04T10:07:05Z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